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52EF0" w14:textId="6C68A0F5" w:rsidR="00CA10F4" w:rsidRPr="00F12F1C" w:rsidRDefault="00CA10F4" w:rsidP="002B7F9E">
      <w:pPr>
        <w:rPr>
          <w:b/>
        </w:rPr>
      </w:pPr>
      <w:r w:rsidRPr="00F12F1C">
        <w:rPr>
          <w:b/>
        </w:rPr>
        <w:t>Peter Lang Style Guidelines – British English</w:t>
      </w:r>
      <w:r w:rsidR="00017E05" w:rsidRPr="00F12F1C">
        <w:rPr>
          <w:b/>
        </w:rPr>
        <w:t xml:space="preserve">   </w:t>
      </w:r>
      <w:r w:rsidR="00A22FCD">
        <w:t>January 2018</w:t>
      </w:r>
    </w:p>
    <w:p w14:paraId="18B66011" w14:textId="2D2D57B5" w:rsidR="00CA10F4" w:rsidRPr="00F12F1C" w:rsidRDefault="00CA10F4" w:rsidP="002B7F9E">
      <w:pPr>
        <w:spacing w:before="100" w:beforeAutospacing="1" w:after="100" w:afterAutospacing="1"/>
        <w:rPr>
          <w:rFonts w:cs="Calibri"/>
          <w:color w:val="000000"/>
        </w:rPr>
      </w:pPr>
      <w:r w:rsidRPr="00F12F1C">
        <w:rPr>
          <w:rFonts w:cs="Calibri"/>
          <w:color w:val="000000"/>
        </w:rPr>
        <w:t xml:space="preserve">Please observe the style guidelines below, which are based on Oxford University Press’s </w:t>
      </w:r>
      <w:r w:rsidRPr="00F12F1C">
        <w:rPr>
          <w:rFonts w:cs="Calibri"/>
          <w:i/>
          <w:color w:val="000000"/>
        </w:rPr>
        <w:t>New Hart's Rules</w:t>
      </w:r>
      <w:r w:rsidRPr="00F12F1C">
        <w:rPr>
          <w:rFonts w:cs="Calibri"/>
          <w:color w:val="000000"/>
        </w:rPr>
        <w:t xml:space="preserve"> and the </w:t>
      </w:r>
      <w:r w:rsidRPr="00F12F1C">
        <w:rPr>
          <w:rFonts w:cs="Calibri"/>
          <w:i/>
          <w:color w:val="000000"/>
        </w:rPr>
        <w:t>Oxford Dictionary for Writers and Editors.</w:t>
      </w:r>
      <w:r w:rsidRPr="00F12F1C">
        <w:rPr>
          <w:rFonts w:cs="Calibri"/>
          <w:color w:val="000000"/>
        </w:rPr>
        <w:t xml:space="preserve"> Please ensure that the style of the manuscript is consistent and accurate throughout</w:t>
      </w:r>
      <w:r w:rsidR="00177588" w:rsidRPr="00F12F1C">
        <w:rPr>
          <w:rFonts w:cs="Calibri"/>
          <w:color w:val="000000"/>
        </w:rPr>
        <w:t>, especially for edited collections</w:t>
      </w:r>
      <w:r w:rsidRPr="00F12F1C">
        <w:rPr>
          <w:rFonts w:cs="Calibri"/>
          <w:color w:val="000000"/>
        </w:rPr>
        <w:t>.</w:t>
      </w:r>
      <w:r w:rsidR="00017E05" w:rsidRPr="00F12F1C">
        <w:rPr>
          <w:rFonts w:cs="Calibri"/>
          <w:color w:val="000000"/>
        </w:rPr>
        <w:t xml:space="preserve"> If you prefer to use a different style guide, please discuss with your </w:t>
      </w:r>
      <w:r w:rsidR="0051237A">
        <w:rPr>
          <w:rFonts w:cs="Calibri"/>
          <w:color w:val="000000"/>
        </w:rPr>
        <w:t>Acquisitions</w:t>
      </w:r>
      <w:bookmarkStart w:id="0" w:name="_GoBack"/>
      <w:bookmarkEnd w:id="0"/>
      <w:r w:rsidR="00017E05" w:rsidRPr="00F12F1C">
        <w:rPr>
          <w:rFonts w:cs="Calibri"/>
          <w:color w:val="000000"/>
        </w:rPr>
        <w:t xml:space="preserve"> Editor in advance.</w:t>
      </w:r>
    </w:p>
    <w:p w14:paraId="27902C77" w14:textId="77777777" w:rsidR="00CA10F4" w:rsidRPr="00F12F1C" w:rsidRDefault="00CA10F4" w:rsidP="002B7F9E">
      <w:pPr>
        <w:rPr>
          <w:rFonts w:cs="Calibri"/>
        </w:rPr>
      </w:pPr>
      <w:r w:rsidRPr="00F12F1C">
        <w:rPr>
          <w:rFonts w:cs="Calibri"/>
          <w:b/>
        </w:rPr>
        <w:t>References (Humanities)</w:t>
      </w:r>
      <w:r w:rsidRPr="00F12F1C">
        <w:rPr>
          <w:rFonts w:cs="Calibri"/>
        </w:rPr>
        <w:t xml:space="preserve"> </w:t>
      </w:r>
    </w:p>
    <w:p w14:paraId="6106A539" w14:textId="1E818701" w:rsidR="00177588" w:rsidRPr="00F12F1C" w:rsidRDefault="00017E05" w:rsidP="002B7F9E">
      <w:pPr>
        <w:rPr>
          <w:rFonts w:cs="Calibri"/>
        </w:rPr>
      </w:pPr>
      <w:r w:rsidRPr="00F12F1C">
        <w:rPr>
          <w:rFonts w:cs="Calibri"/>
        </w:rPr>
        <w:t xml:space="preserve">Please use the </w:t>
      </w:r>
      <w:r w:rsidR="00014B9C" w:rsidRPr="00F12F1C">
        <w:rPr>
          <w:rFonts w:cs="Calibri"/>
        </w:rPr>
        <w:t xml:space="preserve">preferred </w:t>
      </w:r>
      <w:r w:rsidRPr="00F12F1C">
        <w:rPr>
          <w:rFonts w:cs="Calibri"/>
        </w:rPr>
        <w:t>reference style in</w:t>
      </w:r>
      <w:r w:rsidR="00D82B12" w:rsidRPr="00F12F1C">
        <w:rPr>
          <w:rFonts w:cs="Calibri"/>
        </w:rPr>
        <w:t xml:space="preserve"> the 2005 edition of</w:t>
      </w:r>
      <w:r w:rsidRPr="00F12F1C">
        <w:rPr>
          <w:rFonts w:cs="Calibri"/>
        </w:rPr>
        <w:t xml:space="preserve"> </w:t>
      </w:r>
      <w:r w:rsidRPr="00F12F1C">
        <w:rPr>
          <w:rFonts w:cs="Calibri"/>
          <w:i/>
        </w:rPr>
        <w:t>New Hart’s Rules</w:t>
      </w:r>
      <w:r w:rsidRPr="00F12F1C">
        <w:rPr>
          <w:rFonts w:cs="Calibri"/>
        </w:rPr>
        <w:t xml:space="preserve">. </w:t>
      </w:r>
      <w:r w:rsidR="00CA10F4" w:rsidRPr="00F12F1C">
        <w:rPr>
          <w:rFonts w:cs="Calibri"/>
        </w:rPr>
        <w:t>The bibliography should be alphabetized by author last name and, for multiple works by one author, by title. Works with no author should be alphabetized by the first word (after the d</w:t>
      </w:r>
      <w:r w:rsidRPr="00F12F1C">
        <w:rPr>
          <w:rFonts w:cs="Calibri"/>
        </w:rPr>
        <w:t xml:space="preserve">efinite or indefinite article). </w:t>
      </w:r>
    </w:p>
    <w:p w14:paraId="56FD6D4C" w14:textId="77777777" w:rsidR="00CA10F4" w:rsidRPr="00F12F1C" w:rsidRDefault="00CA10F4" w:rsidP="002B7F9E">
      <w:pPr>
        <w:rPr>
          <w:rFonts w:cs="Calibri"/>
        </w:rPr>
      </w:pPr>
      <w:r w:rsidRPr="00F12F1C">
        <w:rPr>
          <w:rFonts w:cs="Calibri"/>
        </w:rPr>
        <w:t>Examples of entries in a bibliography:</w:t>
      </w:r>
    </w:p>
    <w:p w14:paraId="5356E489" w14:textId="77777777" w:rsidR="00CA10F4" w:rsidRPr="00F12F1C" w:rsidRDefault="00CA10F4" w:rsidP="002B7F9E">
      <w:pPr>
        <w:rPr>
          <w:rFonts w:cs="Calibri"/>
          <w:b/>
          <w:i/>
        </w:rPr>
      </w:pPr>
      <w:r w:rsidRPr="00F12F1C">
        <w:rPr>
          <w:rFonts w:cs="Calibri"/>
          <w:b/>
          <w:i/>
        </w:rPr>
        <w:t>Book</w:t>
      </w:r>
    </w:p>
    <w:p w14:paraId="478A3323" w14:textId="77777777" w:rsidR="00CA10F4" w:rsidRPr="00F12F1C" w:rsidRDefault="00CA10F4" w:rsidP="002B7F9E">
      <w:pPr>
        <w:rPr>
          <w:rFonts w:cs="Calibri"/>
        </w:rPr>
      </w:pPr>
      <w:r w:rsidRPr="00F12F1C">
        <w:rPr>
          <w:rFonts w:cs="Calibri"/>
        </w:rPr>
        <w:t xml:space="preserve">Cary, George, </w:t>
      </w:r>
      <w:r w:rsidRPr="00F12F1C">
        <w:rPr>
          <w:rFonts w:cs="Calibri"/>
          <w:i/>
        </w:rPr>
        <w:t>The Medieval Alexander</w:t>
      </w:r>
      <w:r w:rsidRPr="00F12F1C">
        <w:rPr>
          <w:rFonts w:cs="Calibri"/>
        </w:rPr>
        <w:t xml:space="preserve"> (Cambridge: Cambridge University Press, 1956).</w:t>
      </w:r>
    </w:p>
    <w:p w14:paraId="1BD8979D" w14:textId="77777777" w:rsidR="00CA10F4" w:rsidRPr="00F12F1C" w:rsidRDefault="00CA10F4" w:rsidP="002B7F9E">
      <w:pPr>
        <w:rPr>
          <w:rFonts w:cs="Calibri"/>
          <w:b/>
          <w:i/>
        </w:rPr>
      </w:pPr>
      <w:r w:rsidRPr="00F12F1C">
        <w:rPr>
          <w:rFonts w:cs="Calibri"/>
          <w:b/>
          <w:i/>
        </w:rPr>
        <w:t>Book with one or more authors/editors</w:t>
      </w:r>
    </w:p>
    <w:p w14:paraId="5F3D29F7" w14:textId="77777777" w:rsidR="00CA10F4" w:rsidRPr="00F12F1C" w:rsidRDefault="00CA10F4" w:rsidP="002B7F9E">
      <w:pPr>
        <w:spacing w:before="100" w:beforeAutospacing="1" w:after="100" w:afterAutospacing="1"/>
        <w:rPr>
          <w:rFonts w:cs="Calibri"/>
        </w:rPr>
      </w:pPr>
      <w:r w:rsidRPr="00F12F1C">
        <w:rPr>
          <w:rFonts w:cs="Calibri"/>
        </w:rPr>
        <w:t xml:space="preserve">Taberner, Stuart, ed., </w:t>
      </w:r>
      <w:hyperlink r:id="rId7" w:history="1">
        <w:r w:rsidRPr="00F12F1C">
          <w:rPr>
            <w:rStyle w:val="Hyperlink"/>
            <w:rFonts w:cs="Calibri"/>
            <w:bCs/>
            <w:i/>
            <w:iCs/>
            <w:color w:val="auto"/>
            <w:u w:val="none"/>
          </w:rPr>
          <w:t>Distorted Reflections</w:t>
        </w:r>
      </w:hyperlink>
      <w:r w:rsidRPr="00F12F1C">
        <w:rPr>
          <w:rFonts w:cs="Calibri"/>
        </w:rPr>
        <w:t xml:space="preserve"> (</w:t>
      </w:r>
      <w:r w:rsidRPr="00F12F1C">
        <w:rPr>
          <w:rFonts w:cs="Calibri"/>
          <w:bCs/>
        </w:rPr>
        <w:t>Amsterdam: Rodopi, 1998).</w:t>
      </w:r>
    </w:p>
    <w:p w14:paraId="487FD0F5" w14:textId="77777777" w:rsidR="00CA10F4" w:rsidRPr="00F12F1C" w:rsidRDefault="00CA10F4" w:rsidP="002B7F9E">
      <w:pPr>
        <w:ind w:left="567" w:hanging="567"/>
        <w:rPr>
          <w:rFonts w:cs="Calibri"/>
        </w:rPr>
      </w:pPr>
      <w:r w:rsidRPr="00F12F1C">
        <w:rPr>
          <w:rFonts w:cs="Calibri"/>
        </w:rPr>
        <w:t xml:space="preserve">––––, and Frank Finlay, eds, </w:t>
      </w:r>
      <w:r w:rsidRPr="00F12F1C">
        <w:rPr>
          <w:rFonts w:cs="Calibri"/>
          <w:i/>
        </w:rPr>
        <w:t>Recasting German Identity: Culture, Politics and Literature in the Berlin Republic</w:t>
      </w:r>
      <w:r w:rsidRPr="00F12F1C">
        <w:rPr>
          <w:rFonts w:cs="Calibri"/>
        </w:rPr>
        <w:t xml:space="preserve"> (Rochester, NY: Camden House, 2003).</w:t>
      </w:r>
    </w:p>
    <w:p w14:paraId="6A8013E1" w14:textId="77777777" w:rsidR="00CA10F4" w:rsidRPr="00F12F1C" w:rsidRDefault="00CA10F4" w:rsidP="002B7F9E">
      <w:pPr>
        <w:rPr>
          <w:rFonts w:cs="Calibri"/>
          <w:b/>
          <w:i/>
        </w:rPr>
      </w:pPr>
      <w:r w:rsidRPr="00F12F1C">
        <w:rPr>
          <w:rFonts w:cs="Calibri"/>
          <w:b/>
          <w:i/>
        </w:rPr>
        <w:t>Chapter in a book</w:t>
      </w:r>
    </w:p>
    <w:p w14:paraId="4E878683" w14:textId="77777777" w:rsidR="00CA10F4" w:rsidRPr="00F12F1C" w:rsidRDefault="00CA10F4" w:rsidP="002B7F9E">
      <w:pPr>
        <w:ind w:left="567" w:hanging="567"/>
        <w:rPr>
          <w:rFonts w:cs="Calibri"/>
        </w:rPr>
      </w:pPr>
      <w:r w:rsidRPr="00F12F1C">
        <w:rPr>
          <w:rFonts w:cs="Calibri"/>
        </w:rPr>
        <w:t xml:space="preserve">Shearman, John, ‘The Vatican Stanze: Functions and Decoration’, in George Holmes, ed., </w:t>
      </w:r>
      <w:r w:rsidRPr="00F12F1C">
        <w:rPr>
          <w:rFonts w:cs="Calibri"/>
          <w:i/>
        </w:rPr>
        <w:t>Art and Politics in Renaissance Italy</w:t>
      </w:r>
      <w:r w:rsidRPr="00F12F1C">
        <w:rPr>
          <w:rFonts w:cs="Calibri"/>
        </w:rPr>
        <w:t xml:space="preserve"> (Oxford: Oxford University Press, 1993), 185–240.</w:t>
      </w:r>
    </w:p>
    <w:p w14:paraId="40403F62" w14:textId="77777777" w:rsidR="00CA10F4" w:rsidRPr="00F12F1C" w:rsidRDefault="00CA10F4" w:rsidP="002B7F9E">
      <w:pPr>
        <w:rPr>
          <w:rFonts w:cs="Calibri"/>
          <w:b/>
          <w:i/>
        </w:rPr>
      </w:pPr>
      <w:r w:rsidRPr="00F12F1C">
        <w:rPr>
          <w:rFonts w:cs="Calibri"/>
          <w:b/>
          <w:i/>
        </w:rPr>
        <w:t>Article in a journal</w:t>
      </w:r>
    </w:p>
    <w:p w14:paraId="7BCC6CBD" w14:textId="77777777" w:rsidR="00CA10F4" w:rsidRPr="00F12F1C" w:rsidRDefault="00CA10F4" w:rsidP="002B7F9E">
      <w:pPr>
        <w:rPr>
          <w:rFonts w:cs="Calibri"/>
        </w:rPr>
      </w:pPr>
      <w:r w:rsidRPr="00F12F1C">
        <w:rPr>
          <w:rFonts w:cs="Calibri"/>
        </w:rPr>
        <w:t xml:space="preserve">Downing, Taylor, and Andrew Johnston, ‘The Spitfire Legend’, </w:t>
      </w:r>
      <w:r w:rsidRPr="00F12F1C">
        <w:rPr>
          <w:rFonts w:cs="Calibri"/>
          <w:i/>
        </w:rPr>
        <w:t>History Today</w:t>
      </w:r>
      <w:r w:rsidRPr="00F12F1C">
        <w:rPr>
          <w:rFonts w:cs="Calibri"/>
        </w:rPr>
        <w:t xml:space="preserve"> 50/9 (2000), 19–25.</w:t>
      </w:r>
    </w:p>
    <w:p w14:paraId="6C747C34" w14:textId="77777777" w:rsidR="00CA10F4" w:rsidRPr="00F12F1C" w:rsidRDefault="00CA10F4" w:rsidP="002B7F9E">
      <w:pPr>
        <w:rPr>
          <w:rFonts w:cs="Calibri"/>
          <w:b/>
          <w:i/>
          <w:lang w:val="de-DE"/>
        </w:rPr>
      </w:pPr>
      <w:r w:rsidRPr="00F12F1C">
        <w:rPr>
          <w:rFonts w:cs="Calibri"/>
          <w:b/>
          <w:i/>
          <w:lang w:val="de-DE"/>
        </w:rPr>
        <w:t>Newspaper article</w:t>
      </w:r>
    </w:p>
    <w:p w14:paraId="4BCDC64F" w14:textId="77777777" w:rsidR="00CA10F4" w:rsidRPr="00F12F1C" w:rsidRDefault="00CA10F4" w:rsidP="002B7F9E">
      <w:pPr>
        <w:rPr>
          <w:rFonts w:cs="Calibri"/>
          <w:lang w:val="de-DE"/>
        </w:rPr>
      </w:pPr>
      <w:r w:rsidRPr="00F12F1C">
        <w:rPr>
          <w:rFonts w:cs="Calibri"/>
          <w:lang w:val="de-DE"/>
        </w:rPr>
        <w:t xml:space="preserve">Walser, Martin, ‘Teufel von Auschwitz sind eher arme Teufel’, </w:t>
      </w:r>
      <w:r w:rsidRPr="00F12F1C">
        <w:rPr>
          <w:rFonts w:cs="Calibri"/>
          <w:i/>
          <w:lang w:val="de-DE"/>
        </w:rPr>
        <w:t>Abendpost</w:t>
      </w:r>
      <w:r w:rsidRPr="00F12F1C">
        <w:rPr>
          <w:rFonts w:cs="Calibri"/>
          <w:lang w:val="de-DE"/>
        </w:rPr>
        <w:t xml:space="preserve"> (14 March 1965).</w:t>
      </w:r>
    </w:p>
    <w:p w14:paraId="303DA270" w14:textId="77777777" w:rsidR="00CA10F4" w:rsidRPr="00F12F1C" w:rsidRDefault="00CA10F4" w:rsidP="002B7F9E">
      <w:pPr>
        <w:rPr>
          <w:rFonts w:cs="Calibri"/>
          <w:b/>
          <w:i/>
        </w:rPr>
      </w:pPr>
      <w:r w:rsidRPr="00F12F1C">
        <w:rPr>
          <w:rFonts w:cs="Calibri"/>
          <w:b/>
          <w:i/>
        </w:rPr>
        <w:t>Online article</w:t>
      </w:r>
    </w:p>
    <w:p w14:paraId="478D5F14" w14:textId="1BF23F91" w:rsidR="00CA10F4" w:rsidRPr="00F12F1C" w:rsidRDefault="000A4760" w:rsidP="002B7F9E">
      <w:pPr>
        <w:ind w:left="567" w:hanging="567"/>
        <w:rPr>
          <w:rFonts w:cs="Calibri"/>
        </w:rPr>
      </w:pPr>
      <w:r w:rsidRPr="00F12F1C">
        <w:rPr>
          <w:rFonts w:cs="Calibri"/>
        </w:rPr>
        <w:t>Allaby, Mic</w:t>
      </w:r>
      <w:r w:rsidR="004B1601" w:rsidRPr="00F12F1C">
        <w:rPr>
          <w:rFonts w:cs="Calibri"/>
        </w:rPr>
        <w:t>hael, ‘Feathers and Lava Lamps’,</w:t>
      </w:r>
      <w:r w:rsidRPr="00F12F1C">
        <w:rPr>
          <w:rFonts w:cs="Calibri"/>
        </w:rPr>
        <w:t xml:space="preserve"> Oxford Reference (2013), </w:t>
      </w:r>
      <w:r w:rsidR="004B1601" w:rsidRPr="00F12F1C">
        <w:rPr>
          <w:rFonts w:cs="Calibri"/>
        </w:rPr>
        <w:t>&lt;</w:t>
      </w:r>
      <w:r w:rsidRPr="00F12F1C">
        <w:rPr>
          <w:rFonts w:cs="Calibri"/>
        </w:rPr>
        <w:t>http://www.oxfordreference.com/page/featherslavalamps</w:t>
      </w:r>
      <w:r w:rsidR="004B1601" w:rsidRPr="00F12F1C">
        <w:rPr>
          <w:rFonts w:cs="Calibri"/>
        </w:rPr>
        <w:t>&gt;</w:t>
      </w:r>
      <w:r w:rsidRPr="00F12F1C">
        <w:rPr>
          <w:rFonts w:cs="Calibri"/>
        </w:rPr>
        <w:t>, accessed 9 Nov</w:t>
      </w:r>
      <w:r w:rsidR="004B1601" w:rsidRPr="00F12F1C">
        <w:rPr>
          <w:rFonts w:cs="Calibri"/>
        </w:rPr>
        <w:t>ember</w:t>
      </w:r>
      <w:r w:rsidRPr="00F12F1C">
        <w:rPr>
          <w:rFonts w:cs="Calibri"/>
        </w:rPr>
        <w:t xml:space="preserve"> 2013.</w:t>
      </w:r>
    </w:p>
    <w:p w14:paraId="15856B8B" w14:textId="77777777" w:rsidR="00CA10F4" w:rsidRPr="00F12F1C" w:rsidRDefault="00CA10F4" w:rsidP="002B7F9E">
      <w:pPr>
        <w:rPr>
          <w:rFonts w:cs="Calibri"/>
          <w:b/>
          <w:i/>
        </w:rPr>
      </w:pPr>
      <w:r w:rsidRPr="00F12F1C">
        <w:rPr>
          <w:rFonts w:cs="Calibri"/>
          <w:b/>
          <w:i/>
        </w:rPr>
        <w:t xml:space="preserve">Footnotes </w:t>
      </w:r>
    </w:p>
    <w:p w14:paraId="3A7B6ED7" w14:textId="77777777" w:rsidR="00CA10F4" w:rsidRPr="00F12F1C" w:rsidRDefault="00CA10F4" w:rsidP="002B7F9E">
      <w:pPr>
        <w:rPr>
          <w:rFonts w:cs="Calibri"/>
        </w:rPr>
      </w:pPr>
      <w:r w:rsidRPr="00F12F1C">
        <w:rPr>
          <w:rFonts w:cs="Calibri"/>
        </w:rPr>
        <w:t xml:space="preserve">In the footnotes, the first mention of a reference should appear as above, but with the author’s first name first. Subsequent references can simply include the author’s name, title and page reference: </w:t>
      </w:r>
    </w:p>
    <w:p w14:paraId="2C58028D" w14:textId="77777777" w:rsidR="00CA10F4" w:rsidRPr="00F12F1C" w:rsidRDefault="00CA10F4" w:rsidP="002B7F9E">
      <w:pPr>
        <w:rPr>
          <w:rFonts w:cs="Calibri"/>
        </w:rPr>
      </w:pPr>
      <w:r w:rsidRPr="00F12F1C">
        <w:rPr>
          <w:rFonts w:cs="Calibri"/>
        </w:rPr>
        <w:t xml:space="preserve">1 George Cary, </w:t>
      </w:r>
      <w:r w:rsidRPr="00F12F1C">
        <w:rPr>
          <w:rFonts w:cs="Calibri"/>
          <w:i/>
        </w:rPr>
        <w:t xml:space="preserve">The Medieval Alexander </w:t>
      </w:r>
      <w:r w:rsidRPr="00F12F1C">
        <w:rPr>
          <w:rFonts w:cs="Calibri"/>
        </w:rPr>
        <w:t xml:space="preserve">(Cambridge: Cambridge University Press, 1956), 246.              2 Cary, </w:t>
      </w:r>
      <w:r w:rsidRPr="00F12F1C">
        <w:rPr>
          <w:rFonts w:cs="Calibri"/>
          <w:i/>
        </w:rPr>
        <w:t>The Medieval Alexander</w:t>
      </w:r>
      <w:r w:rsidRPr="00F12F1C">
        <w:rPr>
          <w:rFonts w:cs="Calibri"/>
        </w:rPr>
        <w:t>, 132.</w:t>
      </w:r>
    </w:p>
    <w:p w14:paraId="4766A9E6" w14:textId="77777777" w:rsidR="00CA10F4" w:rsidRPr="00F12F1C" w:rsidRDefault="00CA10F4" w:rsidP="002B7F9E">
      <w:pPr>
        <w:rPr>
          <w:rFonts w:cs="Calibri"/>
        </w:rPr>
      </w:pPr>
      <w:r w:rsidRPr="00F12F1C">
        <w:rPr>
          <w:rFonts w:cs="Calibri"/>
          <w:b/>
        </w:rPr>
        <w:lastRenderedPageBreak/>
        <w:t>References</w:t>
      </w:r>
      <w:r w:rsidRPr="00F12F1C">
        <w:rPr>
          <w:rFonts w:cs="Calibri"/>
          <w:b/>
          <w:color w:val="000000"/>
        </w:rPr>
        <w:t xml:space="preserve"> (Social Sciences)</w:t>
      </w:r>
    </w:p>
    <w:p w14:paraId="4890ABC1" w14:textId="07D6EA19" w:rsidR="00F422C8" w:rsidRPr="00F12F1C" w:rsidRDefault="00CA10F4" w:rsidP="002B7F9E">
      <w:pPr>
        <w:rPr>
          <w:rFonts w:cs="Calibri"/>
        </w:rPr>
      </w:pPr>
      <w:r w:rsidRPr="00F12F1C">
        <w:rPr>
          <w:rFonts w:cs="Calibri"/>
        </w:rPr>
        <w:t>Use the Harvard style of author–date citations and bibliography</w:t>
      </w:r>
      <w:r w:rsidR="00177588" w:rsidRPr="00F12F1C">
        <w:rPr>
          <w:rFonts w:cs="Calibri"/>
        </w:rPr>
        <w:t xml:space="preserve">, as described in </w:t>
      </w:r>
      <w:r w:rsidR="00E87CE4" w:rsidRPr="00F12F1C">
        <w:rPr>
          <w:rFonts w:cs="Calibri"/>
        </w:rPr>
        <w:t xml:space="preserve">the 2005 edition of </w:t>
      </w:r>
      <w:r w:rsidR="00177588" w:rsidRPr="00F12F1C">
        <w:rPr>
          <w:rFonts w:cs="Calibri"/>
          <w:i/>
        </w:rPr>
        <w:t>New Hart’s Rules</w:t>
      </w:r>
      <w:r w:rsidRPr="00F12F1C">
        <w:rPr>
          <w:rFonts w:cs="Calibri"/>
        </w:rPr>
        <w:t xml:space="preserve">. The bibliography should be alphabetized by author last name and multiple works by one author should be organized chronologically. If more than one work by the same author has the same date, add ‘a’ and ‘b’ after the dates and organize them alphabetically by title (see below). </w:t>
      </w:r>
    </w:p>
    <w:p w14:paraId="7119E4BA" w14:textId="77777777" w:rsidR="00CA10F4" w:rsidRPr="00F12F1C" w:rsidRDefault="00CA10F4" w:rsidP="002B7F9E">
      <w:pPr>
        <w:rPr>
          <w:rFonts w:cs="Calibri"/>
        </w:rPr>
      </w:pPr>
      <w:r w:rsidRPr="00F12F1C">
        <w:rPr>
          <w:rFonts w:cs="Calibri"/>
        </w:rPr>
        <w:t>Examples of entries in a bibliography:</w:t>
      </w:r>
    </w:p>
    <w:p w14:paraId="096896B4" w14:textId="77777777" w:rsidR="00CA10F4" w:rsidRPr="00F12F1C" w:rsidRDefault="00CA10F4" w:rsidP="002B7F9E">
      <w:pPr>
        <w:rPr>
          <w:rFonts w:cs="Calibri"/>
          <w:b/>
          <w:i/>
        </w:rPr>
      </w:pPr>
      <w:r w:rsidRPr="00F12F1C">
        <w:rPr>
          <w:rFonts w:cs="Calibri"/>
          <w:b/>
          <w:i/>
        </w:rPr>
        <w:t>Book</w:t>
      </w:r>
    </w:p>
    <w:p w14:paraId="0C6A36DC" w14:textId="77777777" w:rsidR="00CA10F4" w:rsidRPr="00F12F1C" w:rsidRDefault="00CA10F4" w:rsidP="002B7F9E">
      <w:pPr>
        <w:rPr>
          <w:rFonts w:cs="Calibri"/>
          <w:color w:val="000000"/>
        </w:rPr>
      </w:pPr>
      <w:r w:rsidRPr="00F12F1C">
        <w:rPr>
          <w:rFonts w:cs="Calibri"/>
          <w:color w:val="000000"/>
        </w:rPr>
        <w:t xml:space="preserve">Balassa, B. (1961). </w:t>
      </w:r>
      <w:r w:rsidRPr="00F12F1C">
        <w:rPr>
          <w:rFonts w:cs="Calibri"/>
          <w:i/>
          <w:color w:val="000000"/>
        </w:rPr>
        <w:t>The Theory of Economic Integration.</w:t>
      </w:r>
      <w:r w:rsidRPr="00F12F1C">
        <w:rPr>
          <w:rFonts w:cs="Calibri"/>
          <w:color w:val="000000"/>
        </w:rPr>
        <w:t xml:space="preserve"> London: Allen and Unwin.</w:t>
      </w:r>
    </w:p>
    <w:p w14:paraId="61C743A0" w14:textId="77777777" w:rsidR="00CA10F4" w:rsidRPr="00F12F1C" w:rsidRDefault="00CA10F4" w:rsidP="002B7F9E">
      <w:pPr>
        <w:rPr>
          <w:rFonts w:cs="Calibri"/>
          <w:b/>
          <w:i/>
        </w:rPr>
      </w:pPr>
      <w:r w:rsidRPr="00F12F1C">
        <w:rPr>
          <w:rFonts w:cs="Calibri"/>
          <w:b/>
          <w:i/>
        </w:rPr>
        <w:t>Book with one or more authors/editors</w:t>
      </w:r>
    </w:p>
    <w:p w14:paraId="347A49B0" w14:textId="77777777" w:rsidR="00CA10F4" w:rsidRPr="00F12F1C" w:rsidRDefault="00CA10F4" w:rsidP="002B7F9E">
      <w:pPr>
        <w:ind w:left="567" w:hanging="567"/>
        <w:rPr>
          <w:rFonts w:cs="Calibri"/>
        </w:rPr>
      </w:pPr>
      <w:r w:rsidRPr="00F12F1C">
        <w:rPr>
          <w:rFonts w:cs="Calibri"/>
          <w:color w:val="000000"/>
        </w:rPr>
        <w:t xml:space="preserve">Duncan, G. J., and Brooks-Gunn, J. (eds) (1997). </w:t>
      </w:r>
      <w:r w:rsidRPr="00F12F1C">
        <w:rPr>
          <w:rStyle w:val="Emphasis"/>
          <w:rFonts w:cs="Calibri"/>
          <w:color w:val="000000"/>
        </w:rPr>
        <w:t>Consequences of Growing Up Poor</w:t>
      </w:r>
      <w:r w:rsidRPr="00F12F1C">
        <w:rPr>
          <w:rFonts w:cs="Calibri"/>
          <w:color w:val="000000"/>
        </w:rPr>
        <w:t>. New York: Russell Sage Foundation.</w:t>
      </w:r>
    </w:p>
    <w:p w14:paraId="5269A261" w14:textId="77777777" w:rsidR="00CA10F4" w:rsidRPr="00F12F1C" w:rsidRDefault="00CA10F4" w:rsidP="002B7F9E">
      <w:pPr>
        <w:rPr>
          <w:rFonts w:cs="Calibri"/>
          <w:b/>
          <w:i/>
        </w:rPr>
      </w:pPr>
      <w:r w:rsidRPr="00F12F1C">
        <w:rPr>
          <w:rFonts w:cs="Calibri"/>
          <w:b/>
          <w:i/>
        </w:rPr>
        <w:t>Chapter in a book</w:t>
      </w:r>
    </w:p>
    <w:p w14:paraId="39873AFB" w14:textId="77777777" w:rsidR="00CA10F4" w:rsidRPr="00F12F1C" w:rsidRDefault="00CA10F4" w:rsidP="002B7F9E">
      <w:pPr>
        <w:ind w:left="567" w:hanging="567"/>
        <w:rPr>
          <w:rFonts w:cs="Calibri"/>
        </w:rPr>
      </w:pPr>
      <w:r w:rsidRPr="00F12F1C">
        <w:rPr>
          <w:rFonts w:cs="Calibri"/>
        </w:rPr>
        <w:t xml:space="preserve">Magarey, M. E. (1988). ‘Examination of the Cervical and Thoracic Spine’. In R. Grant (ed.), </w:t>
      </w:r>
      <w:r w:rsidRPr="00F12F1C">
        <w:rPr>
          <w:rFonts w:cs="Calibri"/>
          <w:i/>
        </w:rPr>
        <w:t>Physical Therapy of the Cervical and Thoracic Spine</w:t>
      </w:r>
      <w:r w:rsidRPr="00F12F1C">
        <w:rPr>
          <w:rFonts w:cs="Calibri"/>
        </w:rPr>
        <w:t>, pp. 81–109. San Diego, CA: Harcourt.</w:t>
      </w:r>
    </w:p>
    <w:p w14:paraId="13EE7D90" w14:textId="77777777" w:rsidR="00CA10F4" w:rsidRPr="00F12F1C" w:rsidRDefault="00CA10F4" w:rsidP="002B7F9E">
      <w:pPr>
        <w:rPr>
          <w:rFonts w:cs="Calibri"/>
          <w:b/>
          <w:i/>
        </w:rPr>
      </w:pPr>
      <w:r w:rsidRPr="00F12F1C">
        <w:rPr>
          <w:rFonts w:cs="Calibri"/>
          <w:b/>
          <w:i/>
        </w:rPr>
        <w:t>Article in a journal</w:t>
      </w:r>
    </w:p>
    <w:p w14:paraId="3F53B0A4" w14:textId="77777777" w:rsidR="00CA10F4" w:rsidRPr="00F12F1C" w:rsidRDefault="00CA10F4" w:rsidP="002B7F9E">
      <w:pPr>
        <w:rPr>
          <w:rFonts w:cs="Calibri"/>
          <w:lang w:eastAsia="en-GB"/>
        </w:rPr>
      </w:pPr>
      <w:r w:rsidRPr="00F12F1C">
        <w:rPr>
          <w:rFonts w:cs="Calibri"/>
          <w:lang w:eastAsia="en-GB"/>
        </w:rPr>
        <w:t xml:space="preserve">Jessop, B. (1995a). ‘Regional Economic Blocs’, </w:t>
      </w:r>
      <w:r w:rsidRPr="00F12F1C">
        <w:rPr>
          <w:rFonts w:cs="Calibri"/>
          <w:i/>
          <w:lang w:eastAsia="en-GB"/>
        </w:rPr>
        <w:t>American Behavioral Scientist</w:t>
      </w:r>
      <w:r w:rsidRPr="00F12F1C">
        <w:rPr>
          <w:rFonts w:cs="Calibri"/>
          <w:lang w:eastAsia="en-GB"/>
        </w:rPr>
        <w:t>, 38 (5), 674–715.</w:t>
      </w:r>
    </w:p>
    <w:p w14:paraId="08AC4751" w14:textId="77777777" w:rsidR="00CA10F4" w:rsidRPr="00F12F1C" w:rsidRDefault="00CA10F4" w:rsidP="002B7F9E">
      <w:pPr>
        <w:ind w:left="567" w:hanging="567"/>
        <w:rPr>
          <w:rFonts w:cs="Calibri"/>
          <w:lang w:eastAsia="en-GB"/>
        </w:rPr>
      </w:pPr>
      <w:r w:rsidRPr="00F12F1C">
        <w:rPr>
          <w:rFonts w:cs="Calibri"/>
          <w:lang w:eastAsia="en-GB"/>
        </w:rPr>
        <w:t xml:space="preserve">–––– (1995b). ‘Regulation Approach, Governance and Post-Fordism’, </w:t>
      </w:r>
      <w:r w:rsidRPr="00F12F1C">
        <w:rPr>
          <w:rFonts w:cs="Calibri"/>
          <w:i/>
          <w:lang w:eastAsia="en-GB"/>
        </w:rPr>
        <w:t>Economy and Society</w:t>
      </w:r>
      <w:r w:rsidRPr="00F12F1C">
        <w:rPr>
          <w:rFonts w:cs="Calibri"/>
          <w:lang w:eastAsia="en-GB"/>
        </w:rPr>
        <w:t>, 24 (3), 307–33.</w:t>
      </w:r>
    </w:p>
    <w:p w14:paraId="5438A9B1" w14:textId="77777777" w:rsidR="00CA10F4" w:rsidRPr="00F12F1C" w:rsidRDefault="00CA10F4" w:rsidP="002B7F9E">
      <w:pPr>
        <w:rPr>
          <w:rFonts w:cs="Calibri"/>
          <w:b/>
          <w:i/>
        </w:rPr>
      </w:pPr>
      <w:r w:rsidRPr="00F12F1C">
        <w:rPr>
          <w:rFonts w:cs="Calibri"/>
          <w:b/>
          <w:i/>
        </w:rPr>
        <w:t>Newspaper article</w:t>
      </w:r>
    </w:p>
    <w:p w14:paraId="1CD2DF24" w14:textId="77777777" w:rsidR="00CA10F4" w:rsidRPr="00F12F1C" w:rsidRDefault="00CA10F4" w:rsidP="002B7F9E">
      <w:pPr>
        <w:rPr>
          <w:rFonts w:cs="Calibri"/>
        </w:rPr>
      </w:pPr>
      <w:r w:rsidRPr="00F12F1C">
        <w:rPr>
          <w:rFonts w:cs="Calibri"/>
        </w:rPr>
        <w:t xml:space="preserve">Cumming, F. (1999). ‘Tax-Free Savings Push’, </w:t>
      </w:r>
      <w:r w:rsidRPr="00F12F1C">
        <w:rPr>
          <w:rFonts w:cs="Calibri"/>
          <w:i/>
          <w:iCs/>
        </w:rPr>
        <w:t>Sunday Mail</w:t>
      </w:r>
      <w:r w:rsidRPr="00F12F1C">
        <w:rPr>
          <w:rFonts w:cs="Calibri"/>
        </w:rPr>
        <w:t>, 4 April, p. 1.</w:t>
      </w:r>
    </w:p>
    <w:p w14:paraId="60C73ADF" w14:textId="7BCAA754" w:rsidR="00CA10F4" w:rsidRPr="0051237A" w:rsidRDefault="00256A42" w:rsidP="002B7F9E">
      <w:pPr>
        <w:rPr>
          <w:rFonts w:cs="Calibri"/>
          <w:b/>
          <w:i/>
        </w:rPr>
      </w:pPr>
      <w:r w:rsidRPr="0051237A">
        <w:rPr>
          <w:rFonts w:cs="Calibri"/>
          <w:b/>
          <w:i/>
        </w:rPr>
        <w:t xml:space="preserve">Online </w:t>
      </w:r>
      <w:r w:rsidR="00CA10F4" w:rsidRPr="0051237A">
        <w:rPr>
          <w:rFonts w:cs="Calibri"/>
          <w:b/>
          <w:i/>
        </w:rPr>
        <w:t>article</w:t>
      </w:r>
    </w:p>
    <w:p w14:paraId="562A7233" w14:textId="25857B32" w:rsidR="00CA10F4" w:rsidRPr="00F12F1C" w:rsidRDefault="00CA10F4" w:rsidP="00256A42">
      <w:pPr>
        <w:ind w:left="567" w:hanging="567"/>
        <w:rPr>
          <w:rFonts w:cs="Calibri"/>
        </w:rPr>
      </w:pPr>
      <w:r w:rsidRPr="0051237A">
        <w:rPr>
          <w:rFonts w:cs="Calibri"/>
        </w:rPr>
        <w:t xml:space="preserve">Boughton, J. M. (2002). </w:t>
      </w:r>
      <w:r w:rsidRPr="00F12F1C">
        <w:rPr>
          <w:rFonts w:cs="Calibri"/>
        </w:rPr>
        <w:t xml:space="preserve">‘The Bretton Woods Proposal: An In-depth Look’, </w:t>
      </w:r>
      <w:r w:rsidRPr="00F12F1C">
        <w:rPr>
          <w:rStyle w:val="Emphasis"/>
          <w:rFonts w:cs="Calibri"/>
        </w:rPr>
        <w:t>Political Science Quarterly</w:t>
      </w:r>
      <w:r w:rsidR="00256A42" w:rsidRPr="00F12F1C">
        <w:rPr>
          <w:rFonts w:cs="Calibri"/>
        </w:rPr>
        <w:t xml:space="preserve">, 42 (6), </w:t>
      </w:r>
      <w:r w:rsidR="004B1601" w:rsidRPr="00F12F1C">
        <w:rPr>
          <w:rFonts w:cs="Calibri"/>
        </w:rPr>
        <w:t>&lt;</w:t>
      </w:r>
      <w:r w:rsidR="00256A42" w:rsidRPr="00F12F1C">
        <w:rPr>
          <w:rFonts w:cs="Calibri"/>
        </w:rPr>
        <w:t>http://www.pol.upenn/articles</w:t>
      </w:r>
      <w:r w:rsidR="004B1601" w:rsidRPr="00F12F1C">
        <w:rPr>
          <w:rFonts w:cs="Calibri"/>
        </w:rPr>
        <w:t>&gt;</w:t>
      </w:r>
      <w:r w:rsidR="00256A42" w:rsidRPr="00F12F1C">
        <w:rPr>
          <w:rFonts w:cs="Calibri"/>
        </w:rPr>
        <w:t>,</w:t>
      </w:r>
      <w:r w:rsidRPr="00F12F1C">
        <w:rPr>
          <w:rFonts w:cs="Calibri"/>
        </w:rPr>
        <w:t xml:space="preserve"> accessed 12 June 2005.</w:t>
      </w:r>
    </w:p>
    <w:p w14:paraId="356BEBAA" w14:textId="77777777" w:rsidR="00CA10F4" w:rsidRPr="00F12F1C" w:rsidRDefault="00CA10F4" w:rsidP="002B7F9E">
      <w:pPr>
        <w:rPr>
          <w:rFonts w:cs="Calibri"/>
          <w:b/>
          <w:i/>
          <w:color w:val="000000"/>
        </w:rPr>
      </w:pPr>
      <w:r w:rsidRPr="00F12F1C">
        <w:rPr>
          <w:rFonts w:cs="Calibri"/>
          <w:b/>
          <w:i/>
          <w:color w:val="000000"/>
        </w:rPr>
        <w:t>Citations</w:t>
      </w:r>
    </w:p>
    <w:p w14:paraId="083CAA22" w14:textId="77777777" w:rsidR="00CA10F4" w:rsidRPr="00F12F1C" w:rsidRDefault="00CA10F4" w:rsidP="002B7F9E">
      <w:pPr>
        <w:rPr>
          <w:rFonts w:cs="Calibri"/>
          <w:color w:val="000000"/>
        </w:rPr>
      </w:pPr>
      <w:r w:rsidRPr="00F12F1C">
        <w:rPr>
          <w:rFonts w:cs="Calibri"/>
          <w:color w:val="000000"/>
        </w:rPr>
        <w:t xml:space="preserve">In-text citations should use the author–date style and be inserted into text </w:t>
      </w:r>
      <w:r w:rsidRPr="00F12F1C">
        <w:rPr>
          <w:rFonts w:cs="Calibri"/>
          <w:i/>
          <w:color w:val="000000"/>
        </w:rPr>
        <w:t>prior</w:t>
      </w:r>
      <w:r w:rsidRPr="00F12F1C">
        <w:rPr>
          <w:rFonts w:cs="Calibri"/>
          <w:color w:val="000000"/>
        </w:rPr>
        <w:t xml:space="preserve"> to punctuation. In indented block quotes, however, the author–date citation </w:t>
      </w:r>
      <w:r w:rsidRPr="00F12F1C">
        <w:rPr>
          <w:rFonts w:cs="Calibri"/>
          <w:i/>
          <w:color w:val="000000"/>
        </w:rPr>
        <w:t>follows</w:t>
      </w:r>
      <w:r w:rsidRPr="00F12F1C">
        <w:rPr>
          <w:rFonts w:cs="Calibri"/>
          <w:color w:val="000000"/>
        </w:rPr>
        <w:t xml:space="preserve"> end punctuation. The page number may be included after a colon, if necessary:</w:t>
      </w:r>
    </w:p>
    <w:p w14:paraId="1A5797DF" w14:textId="77777777" w:rsidR="00CA10F4" w:rsidRPr="00F12F1C" w:rsidRDefault="00CA10F4" w:rsidP="002B7F9E">
      <w:pPr>
        <w:rPr>
          <w:rFonts w:cs="Calibri"/>
          <w:color w:val="000000"/>
        </w:rPr>
      </w:pPr>
      <w:r w:rsidRPr="00F12F1C">
        <w:rPr>
          <w:rFonts w:cs="Calibri"/>
          <w:color w:val="000000"/>
        </w:rPr>
        <w:t>For years, most textbooks referred to the five stages of economic integration (Jessop 1995b).</w:t>
      </w:r>
    </w:p>
    <w:p w14:paraId="2D69FE5C" w14:textId="77777777" w:rsidR="00CA10F4" w:rsidRPr="00F12F1C" w:rsidRDefault="00CA10F4" w:rsidP="002B7F9E">
      <w:pPr>
        <w:rPr>
          <w:rFonts w:cs="Calibri"/>
          <w:color w:val="000000"/>
        </w:rPr>
      </w:pPr>
      <w:r w:rsidRPr="00F12F1C">
        <w:rPr>
          <w:rFonts w:cs="Calibri"/>
          <w:color w:val="000000"/>
        </w:rPr>
        <w:t>According to Higgins, preventative medicine is ‘cost effective’ (2005: 56), but not efficient.</w:t>
      </w:r>
    </w:p>
    <w:p w14:paraId="564FD9AD" w14:textId="51FEBA8A" w:rsidR="002B7F9E" w:rsidRPr="00F12F1C" w:rsidRDefault="00CA10F4" w:rsidP="002B7F9E">
      <w:pPr>
        <w:rPr>
          <w:rFonts w:cs="Calibri"/>
          <w:color w:val="000000"/>
        </w:rPr>
      </w:pPr>
      <w:r w:rsidRPr="00F12F1C">
        <w:rPr>
          <w:rFonts w:cs="Calibri"/>
          <w:color w:val="000000"/>
        </w:rPr>
        <w:t>Berkley (2009: 43) argued that ‘[g]lobal climate change has cause</w:t>
      </w:r>
      <w:r w:rsidR="00A22FCD">
        <w:rPr>
          <w:rFonts w:cs="Calibri"/>
          <w:color w:val="000000"/>
        </w:rPr>
        <w:t>d billions of pounds of damage’.</w:t>
      </w:r>
      <w:r w:rsidRPr="00F12F1C">
        <w:rPr>
          <w:rFonts w:cs="Calibri"/>
          <w:color w:val="000000"/>
        </w:rPr>
        <w:t xml:space="preserve"> </w:t>
      </w:r>
    </w:p>
    <w:p w14:paraId="505E9BE9" w14:textId="77777777" w:rsidR="00F422C8" w:rsidRPr="00F12F1C" w:rsidRDefault="00F422C8" w:rsidP="002B7F9E">
      <w:pPr>
        <w:rPr>
          <w:rFonts w:cs="Calibri"/>
          <w:color w:val="000000"/>
        </w:rPr>
      </w:pPr>
    </w:p>
    <w:p w14:paraId="58902038" w14:textId="77777777" w:rsidR="002B7F9E" w:rsidRPr="00F12F1C" w:rsidRDefault="002B7F9E" w:rsidP="00E87CE4">
      <w:pPr>
        <w:rPr>
          <w:rFonts w:cs="Calibri"/>
          <w:color w:val="000000"/>
        </w:rPr>
      </w:pPr>
      <w:r w:rsidRPr="00F12F1C">
        <w:rPr>
          <w:rFonts w:cs="Calibri"/>
          <w:b/>
          <w:color w:val="000000"/>
        </w:rPr>
        <w:lastRenderedPageBreak/>
        <w:t>Spelling</w:t>
      </w:r>
      <w:r w:rsidRPr="00F12F1C">
        <w:rPr>
          <w:rFonts w:cs="Calibri"/>
          <w:color w:val="000000"/>
        </w:rPr>
        <w:t xml:space="preserve"> </w:t>
      </w:r>
    </w:p>
    <w:p w14:paraId="68266CA6" w14:textId="25230FD9" w:rsidR="00E87CE4" w:rsidRPr="00F12F1C" w:rsidRDefault="00FC785F" w:rsidP="00E87CE4">
      <w:pPr>
        <w:rPr>
          <w:rFonts w:cs="Calibri"/>
        </w:rPr>
      </w:pPr>
      <w:r w:rsidRPr="00F12F1C">
        <w:rPr>
          <w:rFonts w:cs="Calibri"/>
        </w:rPr>
        <w:t>Use British spellings, but use –</w:t>
      </w:r>
      <w:r w:rsidR="002B7F9E" w:rsidRPr="00F12F1C">
        <w:rPr>
          <w:rFonts w:cs="Calibri"/>
        </w:rPr>
        <w:t xml:space="preserve">ize endings (realize, organize, etc.). However, note that ‘analyse’ should be used, not ‘analyze’. </w:t>
      </w:r>
    </w:p>
    <w:p w14:paraId="3017BF7E" w14:textId="77777777" w:rsidR="00CA10F4" w:rsidRPr="00F12F1C" w:rsidRDefault="00CA10F4" w:rsidP="00E87CE4">
      <w:pPr>
        <w:rPr>
          <w:rFonts w:cs="Calibri"/>
          <w:color w:val="000000"/>
        </w:rPr>
      </w:pPr>
      <w:r w:rsidRPr="00F12F1C">
        <w:rPr>
          <w:rFonts w:cs="Calibri"/>
          <w:b/>
          <w:color w:val="000000"/>
        </w:rPr>
        <w:t>Abbreviations, Contractions and Acronyms</w:t>
      </w:r>
    </w:p>
    <w:p w14:paraId="1A1A1FD0" w14:textId="77777777" w:rsidR="00CA10F4" w:rsidRPr="00F12F1C" w:rsidRDefault="00CA10F4" w:rsidP="00E87CE4">
      <w:pPr>
        <w:spacing w:after="0"/>
        <w:rPr>
          <w:rFonts w:cs="Calibri"/>
          <w:color w:val="000000"/>
        </w:rPr>
      </w:pPr>
      <w:r w:rsidRPr="00F12F1C">
        <w:rPr>
          <w:rFonts w:cs="Calibri"/>
          <w:color w:val="000000"/>
        </w:rPr>
        <w:t>Use full points:</w:t>
      </w:r>
    </w:p>
    <w:p w14:paraId="77433CA2" w14:textId="77777777" w:rsidR="00CA10F4" w:rsidRPr="00F12F1C" w:rsidRDefault="00CA10F4" w:rsidP="00E87CE4">
      <w:pPr>
        <w:numPr>
          <w:ilvl w:val="0"/>
          <w:numId w:val="1"/>
        </w:numPr>
        <w:spacing w:after="0"/>
        <w:rPr>
          <w:rFonts w:cs="Calibri"/>
          <w:color w:val="000000"/>
        </w:rPr>
      </w:pPr>
      <w:r w:rsidRPr="00F12F1C">
        <w:rPr>
          <w:rFonts w:cs="Calibri"/>
          <w:color w:val="000000"/>
        </w:rPr>
        <w:t xml:space="preserve">If an abbreviation does </w:t>
      </w:r>
      <w:r w:rsidRPr="00F12F1C">
        <w:rPr>
          <w:rFonts w:cs="Calibri"/>
          <w:i/>
          <w:color w:val="000000"/>
        </w:rPr>
        <w:t>not</w:t>
      </w:r>
      <w:r w:rsidRPr="00F12F1C">
        <w:rPr>
          <w:rFonts w:cs="Calibri"/>
          <w:color w:val="000000"/>
        </w:rPr>
        <w:t xml:space="preserve"> end with the final letter of the word: ed., vol., no., Rev.</w:t>
      </w:r>
    </w:p>
    <w:p w14:paraId="697A1D64" w14:textId="77777777" w:rsidR="00CA10F4" w:rsidRPr="00F12F1C" w:rsidRDefault="00CA10F4" w:rsidP="00E87CE4">
      <w:pPr>
        <w:numPr>
          <w:ilvl w:val="0"/>
          <w:numId w:val="1"/>
        </w:numPr>
        <w:spacing w:after="0"/>
        <w:rPr>
          <w:rFonts w:cs="Calibri"/>
          <w:color w:val="000000"/>
        </w:rPr>
      </w:pPr>
      <w:r w:rsidRPr="00F12F1C">
        <w:rPr>
          <w:rFonts w:cs="Calibri"/>
          <w:color w:val="000000"/>
        </w:rPr>
        <w:t>After initials in a name: R. A. Butler (and leave a space between initials)</w:t>
      </w:r>
    </w:p>
    <w:p w14:paraId="0CC67FFD" w14:textId="77777777" w:rsidR="00CA10F4" w:rsidRPr="00F12F1C" w:rsidRDefault="00CA10F4" w:rsidP="00E87CE4">
      <w:pPr>
        <w:spacing w:after="0"/>
        <w:rPr>
          <w:rFonts w:cs="Calibri"/>
          <w:color w:val="000000"/>
        </w:rPr>
      </w:pPr>
    </w:p>
    <w:p w14:paraId="3628CDA6" w14:textId="77777777" w:rsidR="00CA10F4" w:rsidRPr="00F12F1C" w:rsidRDefault="00CA10F4" w:rsidP="00E87CE4">
      <w:pPr>
        <w:spacing w:after="0"/>
        <w:rPr>
          <w:rFonts w:cs="Calibri"/>
          <w:color w:val="000000"/>
        </w:rPr>
      </w:pPr>
      <w:r w:rsidRPr="00F12F1C">
        <w:rPr>
          <w:rFonts w:cs="Calibri"/>
          <w:color w:val="000000"/>
        </w:rPr>
        <w:t xml:space="preserve">Do </w:t>
      </w:r>
      <w:r w:rsidRPr="00F12F1C">
        <w:rPr>
          <w:rFonts w:cs="Calibri"/>
          <w:i/>
          <w:color w:val="000000"/>
        </w:rPr>
        <w:t>not</w:t>
      </w:r>
      <w:r w:rsidRPr="00F12F1C">
        <w:rPr>
          <w:rFonts w:cs="Calibri"/>
          <w:color w:val="000000"/>
        </w:rPr>
        <w:t xml:space="preserve"> use full points:</w:t>
      </w:r>
    </w:p>
    <w:p w14:paraId="566630BF" w14:textId="77777777" w:rsidR="00CA10F4" w:rsidRPr="00F12F1C" w:rsidRDefault="00CA10F4" w:rsidP="00E87CE4">
      <w:pPr>
        <w:numPr>
          <w:ilvl w:val="0"/>
          <w:numId w:val="2"/>
        </w:numPr>
        <w:spacing w:after="0"/>
        <w:rPr>
          <w:rFonts w:cs="Calibri"/>
          <w:color w:val="000000"/>
        </w:rPr>
      </w:pPr>
      <w:r w:rsidRPr="00F12F1C">
        <w:rPr>
          <w:rFonts w:cs="Calibri"/>
          <w:color w:val="000000"/>
        </w:rPr>
        <w:t>If a contraction ends with the final letter of the word: Dr, Mr, Mrs, St, eds, edn</w:t>
      </w:r>
    </w:p>
    <w:p w14:paraId="2968E841" w14:textId="77777777" w:rsidR="00CA10F4" w:rsidRPr="00F12F1C" w:rsidRDefault="00CA10F4" w:rsidP="00E87CE4">
      <w:pPr>
        <w:numPr>
          <w:ilvl w:val="0"/>
          <w:numId w:val="2"/>
        </w:numPr>
        <w:spacing w:after="0"/>
        <w:rPr>
          <w:rFonts w:cs="Calibri"/>
          <w:color w:val="000000"/>
        </w:rPr>
      </w:pPr>
      <w:r w:rsidRPr="00F12F1C">
        <w:rPr>
          <w:rFonts w:cs="Calibri"/>
          <w:color w:val="000000"/>
        </w:rPr>
        <w:t>In metric units of measurement: cm, kg</w:t>
      </w:r>
    </w:p>
    <w:p w14:paraId="38A2C96D" w14:textId="77777777" w:rsidR="00CA10F4" w:rsidRPr="00F12F1C" w:rsidRDefault="00CA10F4" w:rsidP="00E87CE4">
      <w:pPr>
        <w:numPr>
          <w:ilvl w:val="0"/>
          <w:numId w:val="2"/>
        </w:numPr>
        <w:spacing w:after="0"/>
        <w:rPr>
          <w:rFonts w:cs="Calibri"/>
          <w:color w:val="000000"/>
        </w:rPr>
      </w:pPr>
      <w:r w:rsidRPr="00F12F1C">
        <w:rPr>
          <w:rFonts w:cs="Calibri"/>
          <w:color w:val="000000"/>
        </w:rPr>
        <w:t>In acronyms, such as initials of organizations or associations: RAC, BBC, USA</w:t>
      </w:r>
    </w:p>
    <w:p w14:paraId="58161CD5" w14:textId="77777777" w:rsidR="00CA10F4" w:rsidRPr="00F12F1C" w:rsidRDefault="00CA10F4" w:rsidP="00E87CE4">
      <w:pPr>
        <w:spacing w:after="0"/>
        <w:rPr>
          <w:rFonts w:cs="Calibri"/>
          <w:b/>
          <w:color w:val="000000"/>
        </w:rPr>
      </w:pPr>
    </w:p>
    <w:p w14:paraId="48C79592" w14:textId="2BC1DF07" w:rsidR="00E87CE4" w:rsidRPr="00F12F1C" w:rsidRDefault="00E87CE4" w:rsidP="00E87CE4">
      <w:pPr>
        <w:spacing w:after="120"/>
        <w:rPr>
          <w:rFonts w:cs="Calibri"/>
          <w:b/>
          <w:color w:val="000000"/>
        </w:rPr>
      </w:pPr>
      <w:r w:rsidRPr="00F12F1C">
        <w:rPr>
          <w:rFonts w:cs="Calibri"/>
          <w:b/>
          <w:color w:val="000000"/>
        </w:rPr>
        <w:t>Capitalization</w:t>
      </w:r>
    </w:p>
    <w:p w14:paraId="12533227" w14:textId="1CB7AA2F" w:rsidR="00540AF3" w:rsidRPr="00F12F1C" w:rsidRDefault="00540AF3" w:rsidP="00E87CE4">
      <w:pPr>
        <w:spacing w:after="120"/>
        <w:rPr>
          <w:rFonts w:cs="Calibri"/>
          <w:color w:val="000000"/>
        </w:rPr>
      </w:pPr>
      <w:r w:rsidRPr="00F12F1C">
        <w:rPr>
          <w:rFonts w:cs="Calibri"/>
          <w:color w:val="000000"/>
        </w:rPr>
        <w:t>Please be consistent in your capitalization of key terms throughout the manuscript.</w:t>
      </w:r>
    </w:p>
    <w:p w14:paraId="02E61D42" w14:textId="77777777" w:rsidR="00CA10F4" w:rsidRPr="00F12F1C" w:rsidRDefault="00CA10F4" w:rsidP="00E87CE4">
      <w:pPr>
        <w:spacing w:after="120"/>
        <w:rPr>
          <w:rFonts w:cs="Calibri"/>
          <w:color w:val="000000"/>
        </w:rPr>
      </w:pPr>
      <w:r w:rsidRPr="00F12F1C">
        <w:rPr>
          <w:rFonts w:cs="Calibri"/>
          <w:color w:val="000000"/>
        </w:rPr>
        <w:t>Use capital letters:</w:t>
      </w:r>
    </w:p>
    <w:p w14:paraId="50FD11EA" w14:textId="4931A5B5" w:rsidR="002B7F9E" w:rsidRPr="00F12F1C" w:rsidRDefault="00CA10F4" w:rsidP="00E87CE4">
      <w:pPr>
        <w:numPr>
          <w:ilvl w:val="0"/>
          <w:numId w:val="8"/>
        </w:numPr>
        <w:spacing w:after="0"/>
        <w:rPr>
          <w:rFonts w:cs="Calibri"/>
          <w:color w:val="000000"/>
        </w:rPr>
      </w:pPr>
      <w:r w:rsidRPr="00F12F1C">
        <w:rPr>
          <w:rFonts w:cs="Calibri"/>
          <w:color w:val="000000"/>
        </w:rPr>
        <w:t xml:space="preserve">For proper names; proper names of institutions, </w:t>
      </w:r>
      <w:r w:rsidR="00540AF3" w:rsidRPr="00F12F1C">
        <w:rPr>
          <w:rFonts w:cs="Calibri"/>
          <w:color w:val="000000"/>
        </w:rPr>
        <w:t>organizations or movements (Romanticism, the Gothic)</w:t>
      </w:r>
      <w:r w:rsidR="002B7F9E" w:rsidRPr="00F12F1C">
        <w:rPr>
          <w:rFonts w:cs="Calibri"/>
          <w:color w:val="000000"/>
        </w:rPr>
        <w:t>, and for</w:t>
      </w:r>
      <w:r w:rsidRPr="00F12F1C">
        <w:rPr>
          <w:rFonts w:cs="Calibri"/>
          <w:color w:val="000000"/>
        </w:rPr>
        <w:t xml:space="preserve"> words derived from prope</w:t>
      </w:r>
      <w:r w:rsidR="002B7F9E" w:rsidRPr="00F12F1C">
        <w:rPr>
          <w:rFonts w:cs="Calibri"/>
          <w:color w:val="000000"/>
        </w:rPr>
        <w:t>r names (Dantesque, Latinize)</w:t>
      </w:r>
    </w:p>
    <w:p w14:paraId="17A52CE8" w14:textId="08ABFDBB" w:rsidR="00CA10F4" w:rsidRPr="00F12F1C" w:rsidRDefault="00177588" w:rsidP="00E87CE4">
      <w:pPr>
        <w:numPr>
          <w:ilvl w:val="0"/>
          <w:numId w:val="8"/>
        </w:numPr>
        <w:spacing w:after="0"/>
        <w:rPr>
          <w:rFonts w:cs="Calibri"/>
          <w:color w:val="000000"/>
        </w:rPr>
      </w:pPr>
      <w:r w:rsidRPr="00F12F1C">
        <w:rPr>
          <w:rFonts w:cs="Calibri"/>
          <w:color w:val="000000"/>
        </w:rPr>
        <w:t>For p</w:t>
      </w:r>
      <w:r w:rsidR="00CA10F4" w:rsidRPr="00F12F1C">
        <w:rPr>
          <w:rFonts w:cs="Calibri"/>
          <w:color w:val="000000"/>
        </w:rPr>
        <w:t>refixes and titles (President Barack Obama</w:t>
      </w:r>
      <w:r w:rsidR="00540AF3" w:rsidRPr="00F12F1C">
        <w:rPr>
          <w:rFonts w:cs="Calibri"/>
          <w:color w:val="000000"/>
        </w:rPr>
        <w:t>, Pope John Paul</w:t>
      </w:r>
      <w:r w:rsidR="00CA10F4" w:rsidRPr="00F12F1C">
        <w:rPr>
          <w:rFonts w:cs="Calibri"/>
          <w:color w:val="000000"/>
        </w:rPr>
        <w:t>)</w:t>
      </w:r>
    </w:p>
    <w:p w14:paraId="36B8842B" w14:textId="77777777" w:rsidR="00CA10F4" w:rsidRPr="00F12F1C" w:rsidRDefault="00CA10F4" w:rsidP="00E87CE4">
      <w:pPr>
        <w:numPr>
          <w:ilvl w:val="0"/>
          <w:numId w:val="8"/>
        </w:numPr>
        <w:spacing w:after="0"/>
        <w:rPr>
          <w:rFonts w:cs="Calibri"/>
          <w:color w:val="000000"/>
        </w:rPr>
      </w:pPr>
      <w:r w:rsidRPr="00F12F1C">
        <w:rPr>
          <w:rFonts w:cs="Calibri"/>
          <w:color w:val="000000"/>
        </w:rPr>
        <w:t>For recognized geographical names (Northern Ireland)</w:t>
      </w:r>
    </w:p>
    <w:p w14:paraId="5FB32ED3" w14:textId="77777777" w:rsidR="00CA10F4" w:rsidRPr="00F12F1C" w:rsidRDefault="00CA10F4" w:rsidP="00E87CE4">
      <w:pPr>
        <w:numPr>
          <w:ilvl w:val="0"/>
          <w:numId w:val="8"/>
        </w:numPr>
        <w:spacing w:after="0"/>
        <w:rPr>
          <w:rFonts w:cs="Calibri"/>
          <w:color w:val="000000"/>
        </w:rPr>
      </w:pPr>
      <w:r w:rsidRPr="00F12F1C">
        <w:rPr>
          <w:rFonts w:cs="Calibri"/>
          <w:color w:val="000000"/>
        </w:rPr>
        <w:t>For proper names of periods or natural phenomena</w:t>
      </w:r>
      <w:r w:rsidR="002B7F9E" w:rsidRPr="00F12F1C">
        <w:rPr>
          <w:rFonts w:cs="Calibri"/>
          <w:color w:val="000000"/>
        </w:rPr>
        <w:t xml:space="preserve"> (Jurassic)</w:t>
      </w:r>
    </w:p>
    <w:p w14:paraId="7818403F" w14:textId="77777777" w:rsidR="002B7F9E" w:rsidRPr="00F12F1C" w:rsidRDefault="00CA10F4" w:rsidP="00E87CE4">
      <w:pPr>
        <w:numPr>
          <w:ilvl w:val="0"/>
          <w:numId w:val="8"/>
        </w:numPr>
        <w:spacing w:after="0"/>
        <w:rPr>
          <w:rFonts w:cs="Calibri"/>
          <w:color w:val="000000"/>
        </w:rPr>
      </w:pPr>
      <w:r w:rsidRPr="00F12F1C">
        <w:rPr>
          <w:rFonts w:cs="Calibri"/>
          <w:color w:val="000000"/>
        </w:rPr>
        <w:t>For historical eras and events (the Reformation)</w:t>
      </w:r>
    </w:p>
    <w:p w14:paraId="5565AACB" w14:textId="77777777" w:rsidR="00CA10F4" w:rsidRPr="00F12F1C" w:rsidRDefault="002B7F9E" w:rsidP="00E87CE4">
      <w:pPr>
        <w:numPr>
          <w:ilvl w:val="0"/>
          <w:numId w:val="8"/>
        </w:numPr>
        <w:spacing w:after="0"/>
        <w:rPr>
          <w:rFonts w:cs="Calibri"/>
          <w:color w:val="000000"/>
        </w:rPr>
      </w:pPr>
      <w:r w:rsidRPr="00F12F1C">
        <w:rPr>
          <w:rFonts w:cs="Calibri"/>
          <w:color w:val="000000"/>
        </w:rPr>
        <w:t>For t</w:t>
      </w:r>
      <w:r w:rsidR="00CA10F4" w:rsidRPr="00F12F1C">
        <w:rPr>
          <w:rFonts w:cs="Calibri"/>
          <w:color w:val="000000"/>
        </w:rPr>
        <w:t xml:space="preserve">rade names (Levi’s) </w:t>
      </w:r>
    </w:p>
    <w:p w14:paraId="3EADB802" w14:textId="38CE8602" w:rsidR="00E87CE4" w:rsidRPr="00F12F1C" w:rsidRDefault="00CA10F4" w:rsidP="00E87CE4">
      <w:pPr>
        <w:numPr>
          <w:ilvl w:val="0"/>
          <w:numId w:val="8"/>
        </w:numPr>
        <w:spacing w:after="0"/>
        <w:rPr>
          <w:rFonts w:cs="Calibri"/>
          <w:color w:val="000000"/>
        </w:rPr>
      </w:pPr>
      <w:r w:rsidRPr="00F12F1C">
        <w:rPr>
          <w:rFonts w:cs="Calibri"/>
          <w:color w:val="000000"/>
        </w:rPr>
        <w:t>For titles of works of literature in English</w:t>
      </w:r>
    </w:p>
    <w:p w14:paraId="65F7BC83" w14:textId="77777777" w:rsidR="00E87CE4" w:rsidRPr="00F12F1C" w:rsidRDefault="00E87CE4" w:rsidP="00E87CE4">
      <w:pPr>
        <w:spacing w:after="0"/>
        <w:ind w:left="720"/>
        <w:rPr>
          <w:rFonts w:cs="Calibri"/>
          <w:color w:val="000000"/>
        </w:rPr>
      </w:pPr>
    </w:p>
    <w:p w14:paraId="5A7BB3FC" w14:textId="77777777" w:rsidR="00CA10F4" w:rsidRPr="00F12F1C" w:rsidRDefault="00CA10F4" w:rsidP="00E87CE4">
      <w:pPr>
        <w:spacing w:after="120"/>
        <w:rPr>
          <w:rFonts w:cs="Calibri"/>
          <w:color w:val="000000"/>
        </w:rPr>
      </w:pPr>
      <w:r w:rsidRPr="00F12F1C">
        <w:rPr>
          <w:rFonts w:cs="Calibri"/>
          <w:color w:val="000000"/>
        </w:rPr>
        <w:t xml:space="preserve">Do </w:t>
      </w:r>
      <w:r w:rsidRPr="00F12F1C">
        <w:rPr>
          <w:rFonts w:cs="Calibri"/>
          <w:i/>
          <w:color w:val="000000"/>
        </w:rPr>
        <w:t>not</w:t>
      </w:r>
      <w:r w:rsidRPr="00F12F1C">
        <w:rPr>
          <w:rFonts w:cs="Calibri"/>
          <w:color w:val="000000"/>
        </w:rPr>
        <w:t xml:space="preserve"> use capital letters:</w:t>
      </w:r>
    </w:p>
    <w:p w14:paraId="4D088066" w14:textId="72DC4E12" w:rsidR="00540AF3" w:rsidRPr="00F12F1C" w:rsidRDefault="00540AF3" w:rsidP="00E87CE4">
      <w:pPr>
        <w:numPr>
          <w:ilvl w:val="0"/>
          <w:numId w:val="9"/>
        </w:numPr>
        <w:spacing w:after="0"/>
        <w:rPr>
          <w:rFonts w:cs="Calibri"/>
          <w:color w:val="000000"/>
        </w:rPr>
      </w:pPr>
      <w:r w:rsidRPr="00F12F1C">
        <w:rPr>
          <w:rFonts w:cs="Calibri"/>
          <w:color w:val="000000"/>
        </w:rPr>
        <w:t>For titles not preceding a person’s name (the US president, the pope)</w:t>
      </w:r>
    </w:p>
    <w:p w14:paraId="56B4C1E8" w14:textId="77777777" w:rsidR="00CA10F4" w:rsidRPr="00F12F1C" w:rsidRDefault="00CA10F4" w:rsidP="00E87CE4">
      <w:pPr>
        <w:numPr>
          <w:ilvl w:val="0"/>
          <w:numId w:val="9"/>
        </w:numPr>
        <w:spacing w:after="0"/>
        <w:rPr>
          <w:rFonts w:cs="Calibri"/>
          <w:color w:val="000000"/>
        </w:rPr>
      </w:pPr>
      <w:r w:rsidRPr="00F12F1C">
        <w:rPr>
          <w:rFonts w:cs="Calibri"/>
          <w:color w:val="000000"/>
        </w:rPr>
        <w:t>For descriptions of geographical regions (northern England)</w:t>
      </w:r>
    </w:p>
    <w:p w14:paraId="6F7FC8AE" w14:textId="203B4454" w:rsidR="00CA10F4" w:rsidRPr="00F12F1C" w:rsidRDefault="00CA10F4" w:rsidP="00E87CE4">
      <w:pPr>
        <w:numPr>
          <w:ilvl w:val="0"/>
          <w:numId w:val="9"/>
        </w:numPr>
        <w:spacing w:after="0"/>
        <w:rPr>
          <w:rFonts w:cs="Calibri"/>
          <w:color w:val="000000"/>
        </w:rPr>
      </w:pPr>
      <w:r w:rsidRPr="00F12F1C">
        <w:rPr>
          <w:rFonts w:cs="Calibri"/>
          <w:color w:val="000000"/>
        </w:rPr>
        <w:t xml:space="preserve">For political theories (socialism, communism, fascism, the left, </w:t>
      </w:r>
      <w:r w:rsidR="005051BB" w:rsidRPr="00F12F1C">
        <w:rPr>
          <w:rFonts w:cs="Calibri"/>
          <w:i/>
          <w:color w:val="000000"/>
        </w:rPr>
        <w:t>but</w:t>
      </w:r>
      <w:r w:rsidR="005051BB" w:rsidRPr="00F12F1C">
        <w:rPr>
          <w:rFonts w:cs="Calibri"/>
          <w:color w:val="000000"/>
        </w:rPr>
        <w:t xml:space="preserve"> National Socialism</w:t>
      </w:r>
      <w:r w:rsidRPr="00F12F1C">
        <w:rPr>
          <w:rFonts w:cs="Calibri"/>
          <w:color w:val="000000"/>
        </w:rPr>
        <w:t>)</w:t>
      </w:r>
    </w:p>
    <w:p w14:paraId="1442AE87" w14:textId="77777777" w:rsidR="002B7F9E" w:rsidRPr="00F12F1C" w:rsidRDefault="002B7F9E" w:rsidP="00E87CE4">
      <w:pPr>
        <w:numPr>
          <w:ilvl w:val="0"/>
          <w:numId w:val="9"/>
        </w:numPr>
        <w:spacing w:after="0"/>
        <w:rPr>
          <w:rFonts w:cs="Calibri"/>
          <w:color w:val="000000"/>
        </w:rPr>
      </w:pPr>
      <w:r w:rsidRPr="00F12F1C">
        <w:t>For academic subjects (literature, history), unless it is part of a job title or department name (Professor of English Literature)</w:t>
      </w:r>
    </w:p>
    <w:p w14:paraId="5D2E397F" w14:textId="77777777" w:rsidR="00CA10F4" w:rsidRPr="00F12F1C" w:rsidRDefault="00CA10F4" w:rsidP="00E87CE4">
      <w:pPr>
        <w:spacing w:after="0"/>
        <w:ind w:left="720"/>
        <w:rPr>
          <w:rFonts w:cs="Calibri"/>
          <w:color w:val="000000"/>
        </w:rPr>
      </w:pPr>
    </w:p>
    <w:p w14:paraId="5160AFC7" w14:textId="77777777" w:rsidR="00CA10F4" w:rsidRPr="00F12F1C" w:rsidRDefault="00CA10F4" w:rsidP="00E87CE4">
      <w:pPr>
        <w:spacing w:after="0"/>
        <w:rPr>
          <w:rFonts w:cs="Calibri"/>
          <w:b/>
          <w:color w:val="000000"/>
        </w:rPr>
      </w:pPr>
      <w:r w:rsidRPr="00F12F1C">
        <w:rPr>
          <w:rFonts w:cs="Calibri"/>
          <w:b/>
          <w:color w:val="000000"/>
        </w:rPr>
        <w:t>Punctuation</w:t>
      </w:r>
    </w:p>
    <w:p w14:paraId="05443BB0" w14:textId="77777777" w:rsidR="002B7F9E" w:rsidRPr="00F12F1C" w:rsidRDefault="002B7F9E" w:rsidP="00E87CE4">
      <w:pPr>
        <w:spacing w:after="0"/>
        <w:rPr>
          <w:rFonts w:cs="Calibri"/>
          <w:color w:val="000000"/>
        </w:rPr>
      </w:pPr>
    </w:p>
    <w:p w14:paraId="25B292F9" w14:textId="77777777" w:rsidR="002B7F9E" w:rsidRPr="00F12F1C" w:rsidRDefault="002B7F9E" w:rsidP="006D7607">
      <w:pPr>
        <w:spacing w:after="0"/>
        <w:rPr>
          <w:rFonts w:cs="Calibri"/>
          <w:b/>
          <w:i/>
          <w:color w:val="000000"/>
        </w:rPr>
      </w:pPr>
      <w:r w:rsidRPr="00F12F1C">
        <w:rPr>
          <w:rFonts w:cs="Calibri"/>
          <w:b/>
          <w:i/>
          <w:color w:val="000000"/>
        </w:rPr>
        <w:t>Commas</w:t>
      </w:r>
    </w:p>
    <w:p w14:paraId="25F28B69" w14:textId="5B219103" w:rsidR="006D7607" w:rsidRDefault="002B7F9E" w:rsidP="006D7607">
      <w:pPr>
        <w:spacing w:after="0"/>
        <w:rPr>
          <w:rFonts w:cs="Calibri"/>
          <w:color w:val="000000"/>
        </w:rPr>
      </w:pPr>
      <w:r w:rsidRPr="00F12F1C">
        <w:rPr>
          <w:rFonts w:cs="Calibri"/>
          <w:color w:val="000000"/>
        </w:rPr>
        <w:t xml:space="preserve">Do </w:t>
      </w:r>
      <w:r w:rsidRPr="00F12F1C">
        <w:rPr>
          <w:rFonts w:cs="Calibri"/>
          <w:i/>
          <w:color w:val="000000"/>
        </w:rPr>
        <w:t>not</w:t>
      </w:r>
      <w:r w:rsidRPr="00F12F1C">
        <w:rPr>
          <w:rFonts w:cs="Calibri"/>
          <w:color w:val="000000"/>
        </w:rPr>
        <w:t xml:space="preserve"> use serial commas in lists: We bought apples, oranges and pears (NOT apples, oranges, and pears).</w:t>
      </w:r>
    </w:p>
    <w:p w14:paraId="31C50CAA" w14:textId="77777777" w:rsidR="006D7607" w:rsidRPr="006D7607" w:rsidRDefault="006D7607" w:rsidP="006D7607">
      <w:pPr>
        <w:spacing w:after="0"/>
        <w:rPr>
          <w:rFonts w:cs="Calibri"/>
          <w:color w:val="000000"/>
        </w:rPr>
      </w:pPr>
    </w:p>
    <w:p w14:paraId="4B249DF0" w14:textId="77777777" w:rsidR="002B7F9E" w:rsidRPr="00F12F1C" w:rsidRDefault="002B7F9E" w:rsidP="006D7607">
      <w:pPr>
        <w:spacing w:after="0"/>
        <w:rPr>
          <w:rFonts w:cs="Calibri"/>
          <w:b/>
          <w:i/>
          <w:color w:val="000000"/>
        </w:rPr>
      </w:pPr>
      <w:r w:rsidRPr="00F12F1C">
        <w:rPr>
          <w:rFonts w:cs="Calibri"/>
          <w:b/>
          <w:i/>
          <w:color w:val="000000"/>
        </w:rPr>
        <w:t>Dashes</w:t>
      </w:r>
    </w:p>
    <w:p w14:paraId="56CBD47B" w14:textId="43D1D7B5" w:rsidR="00CA10F4" w:rsidRPr="00F12F1C" w:rsidRDefault="002B7F9E" w:rsidP="00E87CE4">
      <w:pPr>
        <w:spacing w:after="120"/>
        <w:rPr>
          <w:rFonts w:cs="Calibri"/>
          <w:color w:val="000000"/>
        </w:rPr>
      </w:pPr>
      <w:r w:rsidRPr="00F12F1C">
        <w:rPr>
          <w:rFonts w:cs="Calibri"/>
          <w:color w:val="000000"/>
        </w:rPr>
        <w:t>A dash indicates a break in thought</w:t>
      </w:r>
      <w:r w:rsidR="00E73920" w:rsidRPr="00F12F1C">
        <w:rPr>
          <w:rFonts w:cs="Calibri"/>
          <w:color w:val="000000"/>
        </w:rPr>
        <w:t xml:space="preserve"> or </w:t>
      </w:r>
      <w:r w:rsidR="006559F7" w:rsidRPr="00F12F1C">
        <w:rPr>
          <w:rFonts w:cs="Calibri"/>
          <w:color w:val="000000"/>
        </w:rPr>
        <w:t>explanatory phrases</w:t>
      </w:r>
      <w:r w:rsidRPr="00F12F1C">
        <w:rPr>
          <w:rFonts w:cs="Calibri"/>
          <w:color w:val="000000"/>
        </w:rPr>
        <w:t xml:space="preserve">. </w:t>
      </w:r>
      <w:r w:rsidR="00CA10F4" w:rsidRPr="00F12F1C">
        <w:rPr>
          <w:rFonts w:cs="Calibri"/>
          <w:color w:val="000000"/>
        </w:rPr>
        <w:t>Use an ‘en’ rule with a space on either side – to be typed thus.</w:t>
      </w:r>
      <w:r w:rsidRPr="00F12F1C">
        <w:rPr>
          <w:rFonts w:cs="Calibri"/>
          <w:color w:val="000000"/>
        </w:rPr>
        <w:t xml:space="preserve"> </w:t>
      </w:r>
    </w:p>
    <w:p w14:paraId="69B84B75" w14:textId="77777777" w:rsidR="002B7F9E" w:rsidRPr="00F12F1C" w:rsidRDefault="002B7F9E" w:rsidP="006D7607">
      <w:pPr>
        <w:spacing w:after="0"/>
        <w:rPr>
          <w:rFonts w:cs="Calibri"/>
          <w:b/>
          <w:i/>
          <w:color w:val="000000"/>
        </w:rPr>
      </w:pPr>
      <w:r w:rsidRPr="00F12F1C">
        <w:rPr>
          <w:rFonts w:cs="Calibri"/>
          <w:b/>
          <w:i/>
          <w:color w:val="000000"/>
        </w:rPr>
        <w:lastRenderedPageBreak/>
        <w:t>Hyphens</w:t>
      </w:r>
    </w:p>
    <w:p w14:paraId="5E33C6BB" w14:textId="77777777" w:rsidR="002B7F9E" w:rsidRPr="00F12F1C" w:rsidRDefault="002B7F9E" w:rsidP="00E87CE4">
      <w:pPr>
        <w:rPr>
          <w:rFonts w:cs="Calibri"/>
          <w:color w:val="000000"/>
        </w:rPr>
      </w:pPr>
      <w:r w:rsidRPr="00F12F1C">
        <w:rPr>
          <w:rFonts w:cs="Calibri"/>
          <w:color w:val="000000"/>
        </w:rPr>
        <w:t>Maintain consistency throughout the manuscript for all key terms.</w:t>
      </w:r>
    </w:p>
    <w:p w14:paraId="035BDE1C" w14:textId="77777777" w:rsidR="002B7F9E" w:rsidRPr="00F12F1C" w:rsidRDefault="002B7F9E" w:rsidP="00E87CE4">
      <w:pPr>
        <w:numPr>
          <w:ilvl w:val="0"/>
          <w:numId w:val="11"/>
        </w:numPr>
        <w:spacing w:after="0"/>
        <w:rPr>
          <w:rFonts w:cs="Calibri"/>
          <w:color w:val="000000"/>
        </w:rPr>
      </w:pPr>
      <w:r w:rsidRPr="00F12F1C">
        <w:rPr>
          <w:rFonts w:cs="Calibri"/>
          <w:color w:val="000000"/>
        </w:rPr>
        <w:t>Use hyphens for compound nouns (make-up), adjectival phrases (middle-class neighbourhoods), between repeated vowels (co-operate)</w:t>
      </w:r>
    </w:p>
    <w:p w14:paraId="76649A68" w14:textId="77777777" w:rsidR="002B7F9E" w:rsidRPr="00F12F1C" w:rsidRDefault="002B7F9E" w:rsidP="00E87CE4">
      <w:pPr>
        <w:pStyle w:val="ListParagraph"/>
        <w:numPr>
          <w:ilvl w:val="0"/>
          <w:numId w:val="11"/>
        </w:numPr>
        <w:spacing w:after="120"/>
        <w:rPr>
          <w:rFonts w:cs="Calibri"/>
          <w:color w:val="000000"/>
        </w:rPr>
      </w:pPr>
      <w:r w:rsidRPr="00F12F1C">
        <w:rPr>
          <w:rFonts w:cs="Calibri"/>
          <w:color w:val="000000"/>
        </w:rPr>
        <w:t xml:space="preserve">Do </w:t>
      </w:r>
      <w:r w:rsidRPr="00F12F1C">
        <w:rPr>
          <w:rFonts w:cs="Calibri"/>
          <w:i/>
          <w:color w:val="000000"/>
        </w:rPr>
        <w:t>not</w:t>
      </w:r>
      <w:r w:rsidRPr="00F12F1C">
        <w:rPr>
          <w:rFonts w:cs="Calibri"/>
          <w:color w:val="000000"/>
        </w:rPr>
        <w:t xml:space="preserve"> use hyphens for established compound nouns (soundtrack, breakdown), between an adverb and adjective if the adverb ends in ‘ly’ (widely known), between two vowels that don’t clash (reintroduce), in words with the ‘re-‘ prefix that don’t clash (rewrite, rethink). Email should be written without a hyphen (</w:t>
      </w:r>
      <w:r w:rsidRPr="00F12F1C">
        <w:rPr>
          <w:rFonts w:cs="Calibri"/>
          <w:i/>
          <w:color w:val="000000"/>
        </w:rPr>
        <w:t xml:space="preserve">not </w:t>
      </w:r>
      <w:r w:rsidRPr="00F12F1C">
        <w:rPr>
          <w:rFonts w:cs="Calibri"/>
          <w:color w:val="000000"/>
        </w:rPr>
        <w:t>e-mail).</w:t>
      </w:r>
    </w:p>
    <w:p w14:paraId="0C847781" w14:textId="77777777" w:rsidR="00CA10F4" w:rsidRPr="00F12F1C" w:rsidRDefault="002B7F9E" w:rsidP="006D7607">
      <w:pPr>
        <w:spacing w:after="0"/>
        <w:rPr>
          <w:rFonts w:cs="Calibri"/>
          <w:b/>
          <w:i/>
          <w:color w:val="000000"/>
        </w:rPr>
      </w:pPr>
      <w:r w:rsidRPr="00F12F1C">
        <w:rPr>
          <w:rFonts w:cs="Calibri"/>
          <w:b/>
          <w:i/>
          <w:color w:val="000000"/>
        </w:rPr>
        <w:t>Ellipses</w:t>
      </w:r>
    </w:p>
    <w:p w14:paraId="50E93CBF" w14:textId="77777777" w:rsidR="002B7F9E" w:rsidRPr="00F12F1C" w:rsidRDefault="002B7F9E" w:rsidP="00E87CE4">
      <w:pPr>
        <w:spacing w:after="120"/>
        <w:rPr>
          <w:rFonts w:cs="Calibri"/>
          <w:i/>
          <w:color w:val="000000"/>
        </w:rPr>
      </w:pPr>
      <w:r w:rsidRPr="00F12F1C">
        <w:t>An ellipsis should be used to indicate an omission in quoted material or a pause.</w:t>
      </w:r>
    </w:p>
    <w:p w14:paraId="1ECC3DA9" w14:textId="77777777" w:rsidR="00CA10F4" w:rsidRPr="00F12F1C" w:rsidRDefault="00CA10F4" w:rsidP="00E87CE4">
      <w:pPr>
        <w:numPr>
          <w:ilvl w:val="0"/>
          <w:numId w:val="10"/>
        </w:numPr>
        <w:spacing w:after="0"/>
        <w:rPr>
          <w:rFonts w:cs="Calibri"/>
          <w:color w:val="000000"/>
        </w:rPr>
      </w:pPr>
      <w:r w:rsidRPr="00F12F1C">
        <w:rPr>
          <w:rFonts w:cs="Calibri"/>
          <w:color w:val="000000"/>
        </w:rPr>
        <w:t xml:space="preserve">Use three dots with spaces on either side ... </w:t>
      </w:r>
      <w:r w:rsidR="002B7F9E" w:rsidRPr="00F12F1C">
        <w:rPr>
          <w:rFonts w:cs="Calibri"/>
          <w:color w:val="000000"/>
        </w:rPr>
        <w:t>like this</w:t>
      </w:r>
      <w:r w:rsidRPr="00F12F1C">
        <w:rPr>
          <w:rFonts w:cs="Calibri"/>
          <w:color w:val="000000"/>
        </w:rPr>
        <w:t xml:space="preserve">. </w:t>
      </w:r>
    </w:p>
    <w:p w14:paraId="1C6640CE" w14:textId="77777777" w:rsidR="002B7F9E" w:rsidRPr="00F12F1C" w:rsidRDefault="002B7F9E" w:rsidP="00E87CE4">
      <w:pPr>
        <w:numPr>
          <w:ilvl w:val="0"/>
          <w:numId w:val="10"/>
        </w:numPr>
        <w:spacing w:after="0"/>
        <w:rPr>
          <w:rFonts w:cs="Calibri"/>
          <w:color w:val="000000"/>
        </w:rPr>
      </w:pPr>
      <w:r w:rsidRPr="00F12F1C">
        <w:rPr>
          <w:rFonts w:cs="Calibri"/>
          <w:color w:val="000000"/>
        </w:rPr>
        <w:t>Do not start or end quotations with ellipses; simply leave them out.</w:t>
      </w:r>
    </w:p>
    <w:p w14:paraId="19D0F275" w14:textId="314B9D2F" w:rsidR="00CA10F4" w:rsidRPr="00F12F1C" w:rsidRDefault="00CA10F4" w:rsidP="00E87CE4">
      <w:pPr>
        <w:numPr>
          <w:ilvl w:val="0"/>
          <w:numId w:val="10"/>
        </w:numPr>
        <w:spacing w:after="0"/>
        <w:rPr>
          <w:rFonts w:cs="Calibri"/>
          <w:color w:val="000000"/>
        </w:rPr>
      </w:pPr>
      <w:r w:rsidRPr="00F12F1C">
        <w:rPr>
          <w:rFonts w:cs="Calibri"/>
          <w:color w:val="000000"/>
        </w:rPr>
        <w:t xml:space="preserve">Indicate the elision of text from within a </w:t>
      </w:r>
      <w:r w:rsidR="006559F7" w:rsidRPr="00F12F1C">
        <w:rPr>
          <w:rFonts w:cs="Calibri"/>
          <w:color w:val="000000"/>
        </w:rPr>
        <w:t>direct quotation</w:t>
      </w:r>
      <w:r w:rsidRPr="00F12F1C">
        <w:rPr>
          <w:rFonts w:cs="Calibri"/>
          <w:color w:val="000000"/>
        </w:rPr>
        <w:t xml:space="preserve"> like this [...] with remaining text continuing.</w:t>
      </w:r>
      <w:r w:rsidR="002B7F9E" w:rsidRPr="00F12F1C">
        <w:rPr>
          <w:rFonts w:cs="Calibri"/>
          <w:color w:val="000000"/>
        </w:rPr>
        <w:t xml:space="preserve"> Do not place the ellipsis within square brackets if it is part of the original material that you are quoting.</w:t>
      </w:r>
    </w:p>
    <w:p w14:paraId="7FF24140" w14:textId="77777777" w:rsidR="00CA10F4" w:rsidRPr="00F12F1C" w:rsidRDefault="00CA10F4" w:rsidP="00E87CE4">
      <w:pPr>
        <w:numPr>
          <w:ilvl w:val="0"/>
          <w:numId w:val="10"/>
        </w:numPr>
        <w:spacing w:after="0"/>
        <w:rPr>
          <w:rFonts w:cs="Calibri"/>
          <w:color w:val="000000"/>
        </w:rPr>
      </w:pPr>
      <w:r w:rsidRPr="00F12F1C">
        <w:rPr>
          <w:rFonts w:cs="Calibri"/>
          <w:color w:val="000000"/>
        </w:rPr>
        <w:t>If a full stop follows the elision of text, indicate like this [...].</w:t>
      </w:r>
    </w:p>
    <w:p w14:paraId="64DB1355" w14:textId="77777777" w:rsidR="006D7607" w:rsidRPr="00F12F1C" w:rsidRDefault="006D7607" w:rsidP="006D7607">
      <w:pPr>
        <w:spacing w:after="0"/>
        <w:rPr>
          <w:rFonts w:cs="Calibri"/>
          <w:color w:val="000000"/>
        </w:rPr>
      </w:pPr>
    </w:p>
    <w:p w14:paraId="1A623E4D" w14:textId="77777777" w:rsidR="00CA10F4" w:rsidRPr="00F12F1C" w:rsidRDefault="00CA10F4" w:rsidP="00E87CE4">
      <w:pPr>
        <w:spacing w:after="120"/>
        <w:rPr>
          <w:rFonts w:cs="Calibri"/>
        </w:rPr>
      </w:pPr>
      <w:r w:rsidRPr="00F12F1C">
        <w:rPr>
          <w:rFonts w:cs="Calibri"/>
          <w:b/>
          <w:color w:val="000000"/>
        </w:rPr>
        <w:t>Numbers</w:t>
      </w:r>
    </w:p>
    <w:p w14:paraId="45FCDB0D" w14:textId="73A60E77" w:rsidR="002B7F9E" w:rsidRPr="00F12F1C" w:rsidRDefault="00E73920" w:rsidP="00E87CE4">
      <w:pPr>
        <w:spacing w:after="0"/>
        <w:rPr>
          <w:rFonts w:cs="Calibri"/>
          <w:color w:val="000000"/>
        </w:rPr>
      </w:pPr>
      <w:r w:rsidRPr="00F12F1C">
        <w:rPr>
          <w:rFonts w:cs="Calibri"/>
          <w:color w:val="000000"/>
        </w:rPr>
        <w:t xml:space="preserve">In general </w:t>
      </w:r>
      <w:r w:rsidR="004B1601" w:rsidRPr="00F12F1C">
        <w:rPr>
          <w:rFonts w:cs="Calibri"/>
          <w:color w:val="000000"/>
        </w:rPr>
        <w:t>, numbers</w:t>
      </w:r>
      <w:r w:rsidR="002B7F9E" w:rsidRPr="00F12F1C">
        <w:rPr>
          <w:rFonts w:cs="Calibri"/>
          <w:color w:val="000000"/>
        </w:rPr>
        <w:t xml:space="preserve"> up to 100 should be spelled out. For numbers 100 or more, </w:t>
      </w:r>
      <w:r w:rsidRPr="00F12F1C">
        <w:rPr>
          <w:rFonts w:cs="Calibri"/>
          <w:color w:val="000000"/>
        </w:rPr>
        <w:t xml:space="preserve">use </w:t>
      </w:r>
      <w:r w:rsidR="002B7F9E" w:rsidRPr="00F12F1C">
        <w:rPr>
          <w:rFonts w:cs="Calibri"/>
          <w:color w:val="000000"/>
        </w:rPr>
        <w:t xml:space="preserve">digits. </w:t>
      </w:r>
    </w:p>
    <w:p w14:paraId="71152BA1" w14:textId="77777777" w:rsidR="00E73920" w:rsidRPr="00F12F1C" w:rsidRDefault="00E73920" w:rsidP="00E73920">
      <w:pPr>
        <w:spacing w:after="0"/>
        <w:rPr>
          <w:rFonts w:cs="Calibri"/>
          <w:color w:val="000000"/>
        </w:rPr>
      </w:pPr>
    </w:p>
    <w:p w14:paraId="106C5BB7" w14:textId="77777777" w:rsidR="00CA10F4" w:rsidRPr="00F12F1C" w:rsidRDefault="00CA10F4" w:rsidP="00E73920">
      <w:pPr>
        <w:spacing w:after="120"/>
        <w:rPr>
          <w:rFonts w:cs="Calibri"/>
          <w:color w:val="000000"/>
        </w:rPr>
      </w:pPr>
      <w:r w:rsidRPr="00F12F1C">
        <w:rPr>
          <w:rFonts w:cs="Calibri"/>
          <w:color w:val="000000"/>
        </w:rPr>
        <w:t>Use figures:</w:t>
      </w:r>
    </w:p>
    <w:p w14:paraId="280734BA" w14:textId="77777777" w:rsidR="00CA10F4" w:rsidRPr="00F12F1C" w:rsidRDefault="00CA10F4" w:rsidP="00E87CE4">
      <w:pPr>
        <w:numPr>
          <w:ilvl w:val="0"/>
          <w:numId w:val="3"/>
        </w:numPr>
        <w:spacing w:after="0"/>
        <w:rPr>
          <w:rFonts w:cs="Calibri"/>
          <w:color w:val="000000"/>
        </w:rPr>
      </w:pPr>
      <w:r w:rsidRPr="00F12F1C">
        <w:rPr>
          <w:rFonts w:cs="Calibri"/>
          <w:color w:val="000000"/>
        </w:rPr>
        <w:t>For years: 1984, 1950s (not fifties)</w:t>
      </w:r>
    </w:p>
    <w:p w14:paraId="377E94B8" w14:textId="77777777" w:rsidR="00CA10F4" w:rsidRPr="00F12F1C" w:rsidRDefault="00CA10F4" w:rsidP="00E87CE4">
      <w:pPr>
        <w:numPr>
          <w:ilvl w:val="0"/>
          <w:numId w:val="3"/>
        </w:numPr>
        <w:spacing w:after="0"/>
        <w:rPr>
          <w:rFonts w:cs="Calibri"/>
          <w:color w:val="000000"/>
        </w:rPr>
      </w:pPr>
      <w:r w:rsidRPr="00F12F1C">
        <w:rPr>
          <w:rFonts w:cs="Calibri"/>
          <w:color w:val="000000"/>
        </w:rPr>
        <w:t>For dates: 25 June 1983 (not 25th of June, June 25)</w:t>
      </w:r>
    </w:p>
    <w:p w14:paraId="0E1C25D2" w14:textId="77777777" w:rsidR="00CA10F4" w:rsidRPr="00F12F1C" w:rsidRDefault="00CA10F4" w:rsidP="00E87CE4">
      <w:pPr>
        <w:numPr>
          <w:ilvl w:val="0"/>
          <w:numId w:val="3"/>
        </w:numPr>
        <w:spacing w:after="0"/>
        <w:rPr>
          <w:rFonts w:cs="Calibri"/>
          <w:color w:val="000000"/>
        </w:rPr>
      </w:pPr>
      <w:r w:rsidRPr="00F12F1C">
        <w:rPr>
          <w:rFonts w:cs="Calibri"/>
          <w:color w:val="000000"/>
        </w:rPr>
        <w:t>For percentages: 25 per cent (</w:t>
      </w:r>
      <w:r w:rsidRPr="00F12F1C">
        <w:rPr>
          <w:rFonts w:cs="Calibri"/>
          <w:i/>
          <w:color w:val="000000"/>
        </w:rPr>
        <w:t>Note</w:t>
      </w:r>
      <w:r w:rsidRPr="00F12F1C">
        <w:rPr>
          <w:rFonts w:cs="Calibri"/>
          <w:color w:val="000000"/>
        </w:rPr>
        <w:t>: with ‘per cent’ as two words)</w:t>
      </w:r>
    </w:p>
    <w:p w14:paraId="68E3ADFF" w14:textId="6523B02A" w:rsidR="00CA10F4" w:rsidRPr="00F12F1C" w:rsidRDefault="00CA10F4" w:rsidP="00E87CE4">
      <w:pPr>
        <w:numPr>
          <w:ilvl w:val="0"/>
          <w:numId w:val="3"/>
        </w:numPr>
        <w:spacing w:after="0"/>
        <w:rPr>
          <w:rFonts w:cs="Calibri"/>
          <w:color w:val="000000"/>
        </w:rPr>
      </w:pPr>
      <w:r w:rsidRPr="00F12F1C">
        <w:rPr>
          <w:rFonts w:cs="Calibri"/>
          <w:color w:val="000000"/>
        </w:rPr>
        <w:t>For measurements: 8</w:t>
      </w:r>
      <w:r w:rsidR="00540AF3" w:rsidRPr="00F12F1C">
        <w:rPr>
          <w:rFonts w:cs="Calibri"/>
          <w:color w:val="000000"/>
        </w:rPr>
        <w:t xml:space="preserve"> </w:t>
      </w:r>
      <w:r w:rsidRPr="00F12F1C">
        <w:rPr>
          <w:rFonts w:cs="Calibri"/>
          <w:color w:val="000000"/>
        </w:rPr>
        <w:t>km, 15 hectares, 16</w:t>
      </w:r>
      <w:r w:rsidR="00540AF3" w:rsidRPr="00F12F1C">
        <w:rPr>
          <w:rFonts w:cs="Calibri"/>
          <w:color w:val="000000"/>
        </w:rPr>
        <w:t xml:space="preserve"> </w:t>
      </w:r>
      <w:r w:rsidRPr="00F12F1C">
        <w:rPr>
          <w:rFonts w:cs="Calibri"/>
          <w:color w:val="000000"/>
        </w:rPr>
        <w:t>mm, 35</w:t>
      </w:r>
      <w:r w:rsidR="00540AF3" w:rsidRPr="00F12F1C">
        <w:rPr>
          <w:rFonts w:cs="Calibri"/>
          <w:color w:val="000000"/>
        </w:rPr>
        <w:t xml:space="preserve"> </w:t>
      </w:r>
      <w:r w:rsidRPr="00F12F1C">
        <w:rPr>
          <w:rFonts w:cs="Calibri"/>
          <w:color w:val="000000"/>
        </w:rPr>
        <w:t>mm (</w:t>
      </w:r>
      <w:r w:rsidR="00540AF3" w:rsidRPr="00F12F1C">
        <w:rPr>
          <w:rFonts w:cs="Calibri"/>
          <w:color w:val="000000"/>
        </w:rPr>
        <w:t>spaced</w:t>
      </w:r>
      <w:r w:rsidRPr="00F12F1C">
        <w:rPr>
          <w:rFonts w:cs="Calibri"/>
          <w:color w:val="000000"/>
        </w:rPr>
        <w:t xml:space="preserve"> as shown)</w:t>
      </w:r>
    </w:p>
    <w:p w14:paraId="0196FF22" w14:textId="77777777" w:rsidR="00CA10F4" w:rsidRPr="00F12F1C" w:rsidRDefault="00CA10F4" w:rsidP="00E87CE4">
      <w:pPr>
        <w:numPr>
          <w:ilvl w:val="0"/>
          <w:numId w:val="3"/>
        </w:numPr>
        <w:spacing w:after="0"/>
        <w:rPr>
          <w:rFonts w:cs="Calibri"/>
          <w:color w:val="000000"/>
        </w:rPr>
      </w:pPr>
      <w:r w:rsidRPr="00F12F1C">
        <w:rPr>
          <w:rFonts w:cs="Calibri"/>
          <w:color w:val="000000"/>
        </w:rPr>
        <w:t>For numbers 100 and over: 400, 7.8 million  (</w:t>
      </w:r>
      <w:r w:rsidRPr="00F12F1C">
        <w:rPr>
          <w:rFonts w:cs="Calibri"/>
          <w:i/>
          <w:color w:val="000000"/>
        </w:rPr>
        <w:t>Note</w:t>
      </w:r>
      <w:r w:rsidRPr="00F12F1C">
        <w:rPr>
          <w:rFonts w:cs="Calibri"/>
          <w:color w:val="000000"/>
        </w:rPr>
        <w:t>: use commas in numbers of four digits or more, as in 2,000 and 45,000)</w:t>
      </w:r>
    </w:p>
    <w:p w14:paraId="18C6799F" w14:textId="77777777" w:rsidR="00CA10F4" w:rsidRPr="00F12F1C" w:rsidRDefault="00CA10F4" w:rsidP="00E87CE4">
      <w:pPr>
        <w:numPr>
          <w:ilvl w:val="0"/>
          <w:numId w:val="3"/>
        </w:numPr>
        <w:spacing w:after="0"/>
        <w:rPr>
          <w:rFonts w:cs="Calibri"/>
          <w:color w:val="000000"/>
        </w:rPr>
      </w:pPr>
      <w:r w:rsidRPr="00F12F1C">
        <w:rPr>
          <w:rFonts w:cs="Calibri"/>
          <w:color w:val="000000"/>
        </w:rPr>
        <w:t>For numbers in a series: Table 1, Chapter 4</w:t>
      </w:r>
    </w:p>
    <w:p w14:paraId="11347A12" w14:textId="77777777" w:rsidR="00CA10F4" w:rsidRPr="00F12F1C" w:rsidRDefault="00CA10F4" w:rsidP="00E87CE4">
      <w:pPr>
        <w:spacing w:after="0"/>
        <w:rPr>
          <w:rFonts w:cs="Calibri"/>
          <w:color w:val="000000"/>
        </w:rPr>
      </w:pPr>
    </w:p>
    <w:p w14:paraId="253BB116" w14:textId="77777777" w:rsidR="00CA10F4" w:rsidRPr="00F12F1C" w:rsidRDefault="00CA10F4" w:rsidP="00E87CE4">
      <w:pPr>
        <w:spacing w:after="0"/>
        <w:rPr>
          <w:rFonts w:cs="Calibri"/>
          <w:color w:val="000000"/>
        </w:rPr>
      </w:pPr>
      <w:r w:rsidRPr="00F12F1C">
        <w:rPr>
          <w:rFonts w:cs="Calibri"/>
          <w:color w:val="000000"/>
        </w:rPr>
        <w:t xml:space="preserve">Do </w:t>
      </w:r>
      <w:r w:rsidRPr="00F12F1C">
        <w:rPr>
          <w:rFonts w:cs="Calibri"/>
          <w:i/>
          <w:color w:val="000000"/>
        </w:rPr>
        <w:t xml:space="preserve">not </w:t>
      </w:r>
      <w:r w:rsidRPr="00F12F1C">
        <w:rPr>
          <w:rFonts w:cs="Calibri"/>
          <w:color w:val="000000"/>
        </w:rPr>
        <w:t>use figures:</w:t>
      </w:r>
    </w:p>
    <w:p w14:paraId="7E055F16" w14:textId="77777777" w:rsidR="00CA10F4" w:rsidRPr="00F12F1C" w:rsidRDefault="00CA10F4" w:rsidP="00E87CE4">
      <w:pPr>
        <w:numPr>
          <w:ilvl w:val="0"/>
          <w:numId w:val="4"/>
        </w:numPr>
        <w:spacing w:after="0"/>
        <w:rPr>
          <w:rFonts w:cs="Calibri"/>
          <w:color w:val="000000"/>
        </w:rPr>
      </w:pPr>
      <w:r w:rsidRPr="00F12F1C">
        <w:rPr>
          <w:rFonts w:cs="Calibri"/>
          <w:color w:val="000000"/>
        </w:rPr>
        <w:t>For numbers less than 100: twenty-five people</w:t>
      </w:r>
    </w:p>
    <w:p w14:paraId="2F1DB921" w14:textId="77777777" w:rsidR="002B7F9E" w:rsidRPr="00F12F1C" w:rsidRDefault="00CA10F4" w:rsidP="00E87CE4">
      <w:pPr>
        <w:numPr>
          <w:ilvl w:val="0"/>
          <w:numId w:val="4"/>
        </w:numPr>
        <w:spacing w:after="0"/>
        <w:rPr>
          <w:rFonts w:cs="Calibri"/>
          <w:color w:val="000000"/>
        </w:rPr>
      </w:pPr>
      <w:r w:rsidRPr="00F12F1C">
        <w:rPr>
          <w:rFonts w:cs="Calibri"/>
          <w:color w:val="000000"/>
        </w:rPr>
        <w:t>For centuries: nineteenth century (not 19th century) and nineteenth-century history</w:t>
      </w:r>
      <w:r w:rsidR="002B7F9E" w:rsidRPr="00F12F1C">
        <w:rPr>
          <w:rFonts w:cs="Calibri"/>
          <w:color w:val="000000"/>
        </w:rPr>
        <w:t xml:space="preserve"> (</w:t>
      </w:r>
      <w:r w:rsidR="00177588" w:rsidRPr="00F12F1C">
        <w:rPr>
          <w:rFonts w:cs="Calibri"/>
          <w:i/>
          <w:color w:val="000000"/>
        </w:rPr>
        <w:t>Note:</w:t>
      </w:r>
      <w:r w:rsidR="002B7F9E" w:rsidRPr="00F12F1C">
        <w:rPr>
          <w:rFonts w:cs="Calibri"/>
          <w:color w:val="000000"/>
        </w:rPr>
        <w:t xml:space="preserve"> the hyphen </w:t>
      </w:r>
      <w:r w:rsidR="00177588" w:rsidRPr="00F12F1C">
        <w:rPr>
          <w:rFonts w:cs="Calibri"/>
          <w:color w:val="000000"/>
        </w:rPr>
        <w:t xml:space="preserve">is </w:t>
      </w:r>
      <w:r w:rsidR="002B7F9E" w:rsidRPr="00F12F1C">
        <w:rPr>
          <w:rFonts w:cs="Calibri"/>
          <w:color w:val="000000"/>
        </w:rPr>
        <w:t>required for adjectival use)</w:t>
      </w:r>
    </w:p>
    <w:p w14:paraId="2253F909" w14:textId="77777777" w:rsidR="00CA10F4" w:rsidRPr="00F12F1C" w:rsidRDefault="00CA10F4" w:rsidP="00E87CE4">
      <w:pPr>
        <w:spacing w:after="0"/>
        <w:rPr>
          <w:rFonts w:cs="Calibri"/>
          <w:color w:val="000000"/>
        </w:rPr>
      </w:pPr>
    </w:p>
    <w:p w14:paraId="0A85A424" w14:textId="77777777" w:rsidR="00CA10F4" w:rsidRPr="00F12F1C" w:rsidRDefault="00CA10F4" w:rsidP="00E87CE4">
      <w:pPr>
        <w:spacing w:after="0"/>
        <w:rPr>
          <w:rFonts w:cs="Calibri"/>
          <w:color w:val="000000"/>
        </w:rPr>
      </w:pPr>
      <w:r w:rsidRPr="00F12F1C">
        <w:rPr>
          <w:rFonts w:cs="Calibri"/>
          <w:color w:val="000000"/>
        </w:rPr>
        <w:t>Spans of numbers:</w:t>
      </w:r>
    </w:p>
    <w:p w14:paraId="43F6B2B3" w14:textId="77777777" w:rsidR="00CA10F4" w:rsidRPr="00F12F1C" w:rsidRDefault="00CA10F4" w:rsidP="00E87CE4">
      <w:pPr>
        <w:numPr>
          <w:ilvl w:val="0"/>
          <w:numId w:val="5"/>
        </w:numPr>
        <w:spacing w:after="0"/>
        <w:rPr>
          <w:rFonts w:cs="Calibri"/>
          <w:color w:val="000000"/>
        </w:rPr>
      </w:pPr>
      <w:r w:rsidRPr="00F12F1C">
        <w:rPr>
          <w:rFonts w:cs="Calibri"/>
          <w:color w:val="000000"/>
        </w:rPr>
        <w:t>Use the fewest number of numerals: pp. 23–4, 1984–5</w:t>
      </w:r>
    </w:p>
    <w:p w14:paraId="6A324AA7" w14:textId="77777777" w:rsidR="00CA10F4" w:rsidRPr="00F12F1C" w:rsidRDefault="00CA10F4" w:rsidP="00E87CE4">
      <w:pPr>
        <w:numPr>
          <w:ilvl w:val="0"/>
          <w:numId w:val="5"/>
        </w:numPr>
        <w:spacing w:after="0"/>
        <w:rPr>
          <w:rFonts w:cs="Calibri"/>
          <w:color w:val="000000"/>
        </w:rPr>
      </w:pPr>
      <w:r w:rsidRPr="00F12F1C">
        <w:rPr>
          <w:rFonts w:cs="Calibri"/>
          <w:color w:val="000000"/>
        </w:rPr>
        <w:t>In the teens, the ‘1’ is always repeated: 12–13, 217–19</w:t>
      </w:r>
    </w:p>
    <w:p w14:paraId="43819C10" w14:textId="34F3D992" w:rsidR="006D7607" w:rsidRPr="006D7607" w:rsidRDefault="00CA10F4" w:rsidP="00E87CE4">
      <w:pPr>
        <w:numPr>
          <w:ilvl w:val="0"/>
          <w:numId w:val="5"/>
        </w:numPr>
        <w:spacing w:after="120"/>
        <w:rPr>
          <w:rFonts w:cs="Calibri"/>
          <w:color w:val="000000"/>
        </w:rPr>
      </w:pPr>
      <w:r w:rsidRPr="00F12F1C">
        <w:rPr>
          <w:rFonts w:cs="Calibri"/>
          <w:color w:val="000000"/>
        </w:rPr>
        <w:t xml:space="preserve">In titles and headings, put numbers in full: </w:t>
      </w:r>
      <w:r w:rsidR="000F44C0" w:rsidRPr="00F12F1C">
        <w:rPr>
          <w:rFonts w:cs="Calibri"/>
          <w:i/>
          <w:color w:val="000000"/>
        </w:rPr>
        <w:t>The History of Germany, 1931–1993</w:t>
      </w:r>
    </w:p>
    <w:p w14:paraId="59CBACF1" w14:textId="75B67782" w:rsidR="00E87CE4" w:rsidRPr="00F12F1C" w:rsidRDefault="00232C74" w:rsidP="00E87CE4">
      <w:pPr>
        <w:rPr>
          <w:rFonts w:cs="Calibri"/>
          <w:b/>
          <w:color w:val="000000"/>
        </w:rPr>
      </w:pPr>
      <w:r w:rsidRPr="00F12F1C">
        <w:rPr>
          <w:rFonts w:cs="Calibri"/>
          <w:b/>
          <w:color w:val="000000"/>
        </w:rPr>
        <w:t>Lists</w:t>
      </w:r>
    </w:p>
    <w:p w14:paraId="76B76ACA" w14:textId="77777777" w:rsidR="00232C74" w:rsidRPr="00F12F1C" w:rsidRDefault="00232C74" w:rsidP="00E87CE4">
      <w:pPr>
        <w:spacing w:after="0"/>
        <w:rPr>
          <w:rFonts w:cs="Calibri"/>
          <w:color w:val="000000"/>
        </w:rPr>
      </w:pPr>
      <w:r w:rsidRPr="00F12F1C">
        <w:rPr>
          <w:rFonts w:cs="Calibri"/>
          <w:color w:val="000000"/>
        </w:rPr>
        <w:t>If you are using lists within the manuscript, please be consistent in using numerals or letters. Bullet points may alternatively be used.</w:t>
      </w:r>
    </w:p>
    <w:p w14:paraId="7588CEC6" w14:textId="77777777" w:rsidR="00F422C8" w:rsidRPr="00F12F1C" w:rsidRDefault="00F422C8" w:rsidP="00E87CE4">
      <w:pPr>
        <w:spacing w:after="0"/>
        <w:rPr>
          <w:rFonts w:cs="Calibri"/>
          <w:color w:val="000000"/>
        </w:rPr>
      </w:pPr>
    </w:p>
    <w:p w14:paraId="1C718AD4" w14:textId="77777777" w:rsidR="00232C74" w:rsidRPr="00F12F1C" w:rsidRDefault="00232C74" w:rsidP="00E87CE4">
      <w:pPr>
        <w:rPr>
          <w:b/>
        </w:rPr>
      </w:pPr>
      <w:r w:rsidRPr="00F12F1C">
        <w:rPr>
          <w:rFonts w:cs="Calibri"/>
          <w:b/>
        </w:rPr>
        <w:t>Italics</w:t>
      </w:r>
      <w:r w:rsidRPr="00F12F1C">
        <w:rPr>
          <w:b/>
        </w:rPr>
        <w:t>, Underlining and Boldface</w:t>
      </w:r>
    </w:p>
    <w:p w14:paraId="4AE79519" w14:textId="0EF370A1" w:rsidR="00232C74" w:rsidRPr="00F12F1C" w:rsidRDefault="00232C74" w:rsidP="00E87CE4">
      <w:pPr>
        <w:tabs>
          <w:tab w:val="left" w:pos="454"/>
        </w:tabs>
        <w:spacing w:after="0"/>
        <w:rPr>
          <w:rFonts w:cs="Calibri"/>
        </w:rPr>
      </w:pPr>
      <w:r w:rsidRPr="00F12F1C">
        <w:rPr>
          <w:rFonts w:cs="Calibri"/>
        </w:rPr>
        <w:t xml:space="preserve">Please do not use </w:t>
      </w:r>
      <w:r w:rsidRPr="00F12F1C">
        <w:rPr>
          <w:rFonts w:cs="Calibri"/>
          <w:b/>
        </w:rPr>
        <w:t>bold type</w:t>
      </w:r>
      <w:r w:rsidRPr="00F12F1C">
        <w:rPr>
          <w:rFonts w:cs="Calibri"/>
        </w:rPr>
        <w:t xml:space="preserve"> or </w:t>
      </w:r>
      <w:r w:rsidRPr="00F12F1C">
        <w:rPr>
          <w:rFonts w:cs="Calibri"/>
          <w:u w:val="single"/>
        </w:rPr>
        <w:t>underlining</w:t>
      </w:r>
      <w:r w:rsidRPr="00F12F1C">
        <w:rPr>
          <w:rFonts w:cs="Calibri"/>
        </w:rPr>
        <w:t xml:space="preserve"> in your manuscript</w:t>
      </w:r>
      <w:r w:rsidR="005F3312" w:rsidRPr="00F12F1C">
        <w:t xml:space="preserve">, except to differentiate between subheading levels or </w:t>
      </w:r>
      <w:r w:rsidR="00E73920" w:rsidRPr="00F12F1C">
        <w:t xml:space="preserve">to </w:t>
      </w:r>
      <w:r w:rsidR="005F3312" w:rsidRPr="00F12F1C">
        <w:t>provide instructions about the placement of images</w:t>
      </w:r>
      <w:r w:rsidRPr="00F12F1C">
        <w:rPr>
          <w:rFonts w:cs="Calibri"/>
        </w:rPr>
        <w:t xml:space="preserve">. However, </w:t>
      </w:r>
      <w:r w:rsidRPr="00F12F1C">
        <w:rPr>
          <w:rFonts w:cs="Calibri"/>
          <w:i/>
        </w:rPr>
        <w:t xml:space="preserve">italics </w:t>
      </w:r>
      <w:r w:rsidRPr="00F12F1C">
        <w:rPr>
          <w:rFonts w:cs="Calibri"/>
        </w:rPr>
        <w:t xml:space="preserve">may be used for certain purposes (see below). </w:t>
      </w:r>
    </w:p>
    <w:p w14:paraId="314FAEC2" w14:textId="77777777" w:rsidR="00232C74" w:rsidRPr="00F12F1C" w:rsidRDefault="00232C74" w:rsidP="00E87CE4">
      <w:pPr>
        <w:tabs>
          <w:tab w:val="left" w:pos="454"/>
        </w:tabs>
        <w:spacing w:after="0"/>
        <w:rPr>
          <w:rFonts w:cs="Calibri"/>
        </w:rPr>
      </w:pPr>
    </w:p>
    <w:p w14:paraId="58F017AD" w14:textId="77777777" w:rsidR="00232C74" w:rsidRPr="00F12F1C" w:rsidRDefault="00232C74" w:rsidP="00E87CE4">
      <w:pPr>
        <w:spacing w:after="0"/>
      </w:pPr>
      <w:r w:rsidRPr="00F12F1C">
        <w:t>Please note: often by default, Word formats websites in blue type with underlining. Please remove the underlining and change all text to black.</w:t>
      </w:r>
    </w:p>
    <w:p w14:paraId="0DC92177" w14:textId="77777777" w:rsidR="00232C74" w:rsidRPr="00F12F1C" w:rsidRDefault="00232C74" w:rsidP="00E87CE4">
      <w:pPr>
        <w:spacing w:after="0"/>
      </w:pPr>
    </w:p>
    <w:p w14:paraId="78158EFF" w14:textId="77777777" w:rsidR="00232C74" w:rsidRPr="00F12F1C" w:rsidRDefault="00232C74" w:rsidP="00E87CE4">
      <w:pPr>
        <w:spacing w:after="0"/>
        <w:rPr>
          <w:rFonts w:cs="Calibri"/>
          <w:color w:val="000000"/>
        </w:rPr>
      </w:pPr>
      <w:r w:rsidRPr="00F12F1C">
        <w:rPr>
          <w:rFonts w:cs="Calibri"/>
          <w:color w:val="000000"/>
        </w:rPr>
        <w:t>Use italics:</w:t>
      </w:r>
    </w:p>
    <w:p w14:paraId="6E1BB263" w14:textId="32A45E77" w:rsidR="00232C74" w:rsidRPr="00F12F1C" w:rsidRDefault="00232C74" w:rsidP="00E87CE4">
      <w:pPr>
        <w:numPr>
          <w:ilvl w:val="0"/>
          <w:numId w:val="6"/>
        </w:numPr>
        <w:spacing w:after="0"/>
        <w:rPr>
          <w:rFonts w:cs="Calibri"/>
          <w:color w:val="000000"/>
        </w:rPr>
      </w:pPr>
      <w:r w:rsidRPr="00F12F1C">
        <w:rPr>
          <w:rFonts w:cs="Calibri"/>
          <w:color w:val="000000"/>
        </w:rPr>
        <w:t>For names of ships, film and play titles, works of art, long poems, newspapers (</w:t>
      </w:r>
      <w:r w:rsidRPr="00F12F1C">
        <w:rPr>
          <w:rFonts w:cs="Calibri"/>
          <w:i/>
          <w:color w:val="000000"/>
        </w:rPr>
        <w:t>Note</w:t>
      </w:r>
      <w:r w:rsidRPr="00F12F1C">
        <w:rPr>
          <w:rFonts w:cs="Calibri"/>
          <w:color w:val="000000"/>
        </w:rPr>
        <w:t xml:space="preserve">: </w:t>
      </w:r>
      <w:r w:rsidR="001D557E">
        <w:rPr>
          <w:rFonts w:cs="Calibri"/>
          <w:color w:val="000000"/>
        </w:rPr>
        <w:t xml:space="preserve">only include ‘The’ in a newspaper title if it is followed by a single word, i.e. </w:t>
      </w:r>
      <w:r w:rsidRPr="00F12F1C">
        <w:rPr>
          <w:rFonts w:cs="Calibri"/>
          <w:i/>
          <w:color w:val="000000"/>
        </w:rPr>
        <w:t>The Times</w:t>
      </w:r>
      <w:r w:rsidRPr="00F12F1C">
        <w:rPr>
          <w:rFonts w:cs="Calibri"/>
          <w:color w:val="000000"/>
        </w:rPr>
        <w:t xml:space="preserve">, </w:t>
      </w:r>
      <w:r w:rsidRPr="00F12F1C">
        <w:rPr>
          <w:rFonts w:cs="Calibri"/>
          <w:i/>
          <w:color w:val="000000"/>
        </w:rPr>
        <w:t>The Guardian</w:t>
      </w:r>
      <w:r w:rsidRPr="00F12F1C">
        <w:rPr>
          <w:rFonts w:cs="Calibri"/>
          <w:color w:val="000000"/>
        </w:rPr>
        <w:t xml:space="preserve"> and </w:t>
      </w:r>
      <w:r w:rsidRPr="00F12F1C">
        <w:rPr>
          <w:rFonts w:cs="Calibri"/>
          <w:i/>
          <w:color w:val="000000"/>
        </w:rPr>
        <w:t>The Economist</w:t>
      </w:r>
      <w:r w:rsidRPr="00F12F1C">
        <w:rPr>
          <w:rFonts w:cs="Calibri"/>
          <w:color w:val="000000"/>
        </w:rPr>
        <w:t>), paintings, books, magazines, journals, television programme names</w:t>
      </w:r>
    </w:p>
    <w:p w14:paraId="37977394" w14:textId="77777777" w:rsidR="00232C74" w:rsidRPr="00F12F1C" w:rsidRDefault="00232C74" w:rsidP="00E87CE4">
      <w:pPr>
        <w:numPr>
          <w:ilvl w:val="0"/>
          <w:numId w:val="6"/>
        </w:numPr>
        <w:spacing w:after="0"/>
        <w:rPr>
          <w:rFonts w:cs="Calibri"/>
          <w:color w:val="000000"/>
        </w:rPr>
      </w:pPr>
      <w:r w:rsidRPr="00F12F1C">
        <w:rPr>
          <w:rFonts w:cs="Calibri"/>
          <w:color w:val="000000"/>
        </w:rPr>
        <w:t xml:space="preserve">For foreign words and phrases not in common use (see </w:t>
      </w:r>
      <w:r w:rsidRPr="00F12F1C">
        <w:rPr>
          <w:rFonts w:cs="Calibri"/>
          <w:i/>
          <w:color w:val="000000"/>
        </w:rPr>
        <w:t>New Hart’s Rules</w:t>
      </w:r>
      <w:r w:rsidRPr="00F12F1C">
        <w:rPr>
          <w:rFonts w:cs="Calibri"/>
          <w:color w:val="000000"/>
        </w:rPr>
        <w:t>)</w:t>
      </w:r>
    </w:p>
    <w:p w14:paraId="4839D918" w14:textId="77777777" w:rsidR="00232C74" w:rsidRPr="00F12F1C" w:rsidRDefault="00232C74" w:rsidP="00E87CE4">
      <w:pPr>
        <w:numPr>
          <w:ilvl w:val="0"/>
          <w:numId w:val="6"/>
        </w:numPr>
        <w:spacing w:after="0"/>
        <w:rPr>
          <w:rFonts w:cs="Calibri"/>
          <w:color w:val="000000"/>
        </w:rPr>
      </w:pPr>
      <w:r w:rsidRPr="00F12F1C">
        <w:rPr>
          <w:rFonts w:cs="Calibri"/>
          <w:color w:val="000000"/>
        </w:rPr>
        <w:t xml:space="preserve">For emphasis (do </w:t>
      </w:r>
      <w:r w:rsidRPr="00F12F1C">
        <w:rPr>
          <w:rFonts w:cs="Calibri"/>
          <w:i/>
          <w:color w:val="000000"/>
        </w:rPr>
        <w:t>not</w:t>
      </w:r>
      <w:r w:rsidRPr="00F12F1C">
        <w:rPr>
          <w:rFonts w:cs="Calibri"/>
          <w:color w:val="000000"/>
        </w:rPr>
        <w:t xml:space="preserve"> use bold or underlining)</w:t>
      </w:r>
    </w:p>
    <w:p w14:paraId="6E4A4FDF" w14:textId="77777777" w:rsidR="00232C74" w:rsidRPr="00F12F1C" w:rsidRDefault="00232C74" w:rsidP="00E87CE4">
      <w:pPr>
        <w:numPr>
          <w:ilvl w:val="0"/>
          <w:numId w:val="6"/>
        </w:numPr>
        <w:spacing w:after="0"/>
        <w:rPr>
          <w:rFonts w:cs="Calibri"/>
          <w:color w:val="000000"/>
        </w:rPr>
      </w:pPr>
      <w:r w:rsidRPr="00F12F1C">
        <w:rPr>
          <w:rFonts w:cs="Calibri"/>
          <w:color w:val="000000"/>
        </w:rPr>
        <w:t>For key terms or coined words</w:t>
      </w:r>
    </w:p>
    <w:p w14:paraId="33E71C44" w14:textId="77777777" w:rsidR="00232C74" w:rsidRPr="00F12F1C" w:rsidRDefault="00232C74" w:rsidP="00E87CE4">
      <w:pPr>
        <w:spacing w:after="0"/>
        <w:rPr>
          <w:rFonts w:cs="Calibri"/>
          <w:color w:val="000000"/>
        </w:rPr>
      </w:pPr>
    </w:p>
    <w:p w14:paraId="44343917" w14:textId="77777777" w:rsidR="00232C74" w:rsidRPr="00F12F1C" w:rsidRDefault="00232C74" w:rsidP="00E87CE4">
      <w:pPr>
        <w:spacing w:after="0"/>
        <w:rPr>
          <w:rFonts w:cs="Calibri"/>
          <w:color w:val="000000"/>
        </w:rPr>
      </w:pPr>
      <w:r w:rsidRPr="00F12F1C">
        <w:rPr>
          <w:rFonts w:cs="Calibri"/>
          <w:color w:val="000000"/>
        </w:rPr>
        <w:t xml:space="preserve">Do </w:t>
      </w:r>
      <w:r w:rsidRPr="00F12F1C">
        <w:rPr>
          <w:rFonts w:cs="Calibri"/>
          <w:i/>
          <w:color w:val="000000"/>
        </w:rPr>
        <w:t>not</w:t>
      </w:r>
      <w:r w:rsidRPr="00F12F1C">
        <w:rPr>
          <w:rFonts w:cs="Calibri"/>
          <w:color w:val="000000"/>
        </w:rPr>
        <w:t xml:space="preserve"> use italics:</w:t>
      </w:r>
    </w:p>
    <w:p w14:paraId="227EFFC6" w14:textId="77777777" w:rsidR="00232C74" w:rsidRPr="00F12F1C" w:rsidRDefault="00232C74" w:rsidP="00E87CE4">
      <w:pPr>
        <w:numPr>
          <w:ilvl w:val="0"/>
          <w:numId w:val="7"/>
        </w:numPr>
        <w:spacing w:after="0"/>
        <w:rPr>
          <w:rFonts w:cs="Calibri"/>
          <w:color w:val="000000"/>
        </w:rPr>
      </w:pPr>
      <w:r w:rsidRPr="00F12F1C">
        <w:rPr>
          <w:rFonts w:cs="Calibri"/>
          <w:color w:val="000000"/>
        </w:rPr>
        <w:t>For poem, essay and short story titles; instead use roman type and single quotation marks</w:t>
      </w:r>
    </w:p>
    <w:p w14:paraId="7D270F4A" w14:textId="77777777" w:rsidR="00232C74" w:rsidRPr="00F12F1C" w:rsidRDefault="00232C74" w:rsidP="00E87CE4">
      <w:pPr>
        <w:numPr>
          <w:ilvl w:val="0"/>
          <w:numId w:val="7"/>
        </w:numPr>
        <w:spacing w:after="0"/>
        <w:rPr>
          <w:rFonts w:cs="Calibri"/>
          <w:color w:val="000000"/>
        </w:rPr>
      </w:pPr>
      <w:r w:rsidRPr="00F12F1C">
        <w:rPr>
          <w:rFonts w:cs="Calibri"/>
          <w:color w:val="000000"/>
        </w:rPr>
        <w:t xml:space="preserve">Foreign words in common usage (rendezvous, regime, elite; </w:t>
      </w:r>
      <w:r w:rsidRPr="00F12F1C">
        <w:rPr>
          <w:rFonts w:cs="Calibri"/>
          <w:i/>
          <w:color w:val="000000"/>
        </w:rPr>
        <w:t>Note:</w:t>
      </w:r>
      <w:r w:rsidRPr="00F12F1C">
        <w:rPr>
          <w:rFonts w:cs="Calibri"/>
          <w:color w:val="000000"/>
        </w:rPr>
        <w:t xml:space="preserve"> no accents) </w:t>
      </w:r>
    </w:p>
    <w:p w14:paraId="020A39F2" w14:textId="77777777" w:rsidR="00E87CE4" w:rsidRPr="00F12F1C" w:rsidRDefault="00E87CE4" w:rsidP="00E87CE4">
      <w:pPr>
        <w:spacing w:after="120"/>
        <w:rPr>
          <w:rFonts w:cs="Calibri"/>
          <w:b/>
          <w:color w:val="000000"/>
        </w:rPr>
      </w:pPr>
    </w:p>
    <w:p w14:paraId="5E828B35" w14:textId="77777777" w:rsidR="00CA10F4" w:rsidRPr="00F12F1C" w:rsidRDefault="00CA10F4" w:rsidP="00E87CE4">
      <w:pPr>
        <w:spacing w:after="120"/>
        <w:rPr>
          <w:rFonts w:cs="Calibri"/>
          <w:color w:val="000000"/>
        </w:rPr>
      </w:pPr>
      <w:r w:rsidRPr="00F12F1C">
        <w:rPr>
          <w:rFonts w:cs="Calibri"/>
          <w:b/>
          <w:color w:val="000000"/>
        </w:rPr>
        <w:t>Quotations</w:t>
      </w:r>
      <w:r w:rsidRPr="00F12F1C">
        <w:rPr>
          <w:rFonts w:cs="Calibri"/>
          <w:color w:val="000000"/>
        </w:rPr>
        <w:t xml:space="preserve"> </w:t>
      </w:r>
    </w:p>
    <w:p w14:paraId="51235DE0" w14:textId="77777777" w:rsidR="00232C74" w:rsidRPr="00F12F1C" w:rsidRDefault="00CA10F4" w:rsidP="00E87CE4">
      <w:pPr>
        <w:spacing w:after="120"/>
      </w:pPr>
      <w:r w:rsidRPr="00F12F1C">
        <w:t xml:space="preserve">Use single quotation marks both for quotes from other sources as well as for terms presented with scepticism or irony. </w:t>
      </w:r>
    </w:p>
    <w:p w14:paraId="2A067CD2" w14:textId="7D890F2F" w:rsidR="004658C3" w:rsidRPr="00F12F1C" w:rsidRDefault="00232C74" w:rsidP="00AB3F86">
      <w:pPr>
        <w:spacing w:before="240" w:after="0"/>
      </w:pPr>
      <w:r w:rsidRPr="00F12F1C">
        <w:t>Double quotation marks should be used within single quotation marks to set off material that in the original source was enclosed in quotation marks, such as: Miele (1993) found that ‘the “placebo effect”, which had been verified in previous studies, disappeared when behavio</w:t>
      </w:r>
      <w:r w:rsidR="00AB3F86" w:rsidRPr="00F12F1C">
        <w:t>u</w:t>
      </w:r>
      <w:r w:rsidRPr="00F12F1C">
        <w:t>rs were studied in this manner.’</w:t>
      </w:r>
    </w:p>
    <w:p w14:paraId="10C2A4DB" w14:textId="77777777" w:rsidR="00CA10F4" w:rsidRPr="00F12F1C" w:rsidRDefault="00CA10F4" w:rsidP="00AB3F86">
      <w:pPr>
        <w:spacing w:before="240" w:after="120"/>
        <w:rPr>
          <w:rFonts w:cs="Calibri"/>
          <w:color w:val="000000"/>
        </w:rPr>
      </w:pPr>
      <w:r w:rsidRPr="00F12F1C">
        <w:rPr>
          <w:rFonts w:cs="Calibri"/>
          <w:color w:val="000000"/>
        </w:rPr>
        <w:t xml:space="preserve">Place the punctuation </w:t>
      </w:r>
      <w:r w:rsidRPr="00F12F1C">
        <w:rPr>
          <w:rFonts w:cs="Calibri"/>
          <w:i/>
          <w:color w:val="000000"/>
        </w:rPr>
        <w:t>after</w:t>
      </w:r>
      <w:r w:rsidRPr="00F12F1C">
        <w:rPr>
          <w:rFonts w:cs="Calibri"/>
          <w:color w:val="000000"/>
        </w:rPr>
        <w:t xml:space="preserve"> the quotation mark if it is not part of the original quote. </w:t>
      </w:r>
    </w:p>
    <w:p w14:paraId="163B239A" w14:textId="77777777" w:rsidR="00CA10F4" w:rsidRPr="00F12F1C" w:rsidRDefault="00CA10F4" w:rsidP="00AB3F86">
      <w:pPr>
        <w:spacing w:before="240" w:after="120"/>
        <w:rPr>
          <w:rFonts w:cs="Calibri"/>
          <w:color w:val="000000"/>
        </w:rPr>
      </w:pPr>
      <w:r w:rsidRPr="00F12F1C">
        <w:rPr>
          <w:rFonts w:cs="Calibri"/>
          <w:color w:val="000000"/>
        </w:rPr>
        <w:t xml:space="preserve">Use square brackets for an editor’s interpolation (‘in many respects [hers is an] exemplary biography’). </w:t>
      </w:r>
    </w:p>
    <w:p w14:paraId="75D18DB4" w14:textId="77777777" w:rsidR="00232C74" w:rsidRPr="00F12F1C" w:rsidRDefault="00232C74" w:rsidP="00AB3F86">
      <w:pPr>
        <w:spacing w:before="240" w:after="0"/>
        <w:rPr>
          <w:rFonts w:cs="Calibri"/>
          <w:b/>
          <w:i/>
          <w:color w:val="000000"/>
        </w:rPr>
      </w:pPr>
      <w:r w:rsidRPr="00F12F1C">
        <w:rPr>
          <w:rFonts w:cs="Calibri"/>
          <w:b/>
          <w:i/>
          <w:color w:val="000000"/>
        </w:rPr>
        <w:t>Block quotations</w:t>
      </w:r>
    </w:p>
    <w:p w14:paraId="12B31FA1" w14:textId="77777777" w:rsidR="00E1116A" w:rsidRPr="00C16BF0" w:rsidRDefault="00CA10F4" w:rsidP="00C16BF0">
      <w:pPr>
        <w:pStyle w:val="NormalWeb"/>
        <w:spacing w:before="0" w:beforeAutospacing="0" w:after="200" w:afterAutospacing="0" w:line="276" w:lineRule="auto"/>
        <w:contextualSpacing/>
        <w:rPr>
          <w:rFonts w:asciiTheme="minorHAnsi" w:hAnsiTheme="minorHAnsi"/>
          <w:color w:val="000000"/>
          <w:sz w:val="22"/>
          <w:szCs w:val="22"/>
        </w:rPr>
      </w:pPr>
      <w:r w:rsidRPr="00C16BF0">
        <w:rPr>
          <w:rFonts w:asciiTheme="minorHAnsi" w:hAnsiTheme="minorHAnsi" w:cs="Calibri"/>
          <w:color w:val="000000"/>
          <w:sz w:val="22"/>
          <w:szCs w:val="22"/>
        </w:rPr>
        <w:t xml:space="preserve">For quotations in prose that exceed </w:t>
      </w:r>
      <w:r w:rsidR="00232C74" w:rsidRPr="00C16BF0">
        <w:rPr>
          <w:rFonts w:asciiTheme="minorHAnsi" w:hAnsiTheme="minorHAnsi" w:cs="Calibri"/>
          <w:color w:val="000000"/>
          <w:sz w:val="22"/>
          <w:szCs w:val="22"/>
        </w:rPr>
        <w:t xml:space="preserve">40 words, indent the entire quote and separate from the main text with a line space above and below. Do </w:t>
      </w:r>
      <w:r w:rsidR="00232C74" w:rsidRPr="00C16BF0">
        <w:rPr>
          <w:rFonts w:asciiTheme="minorHAnsi" w:hAnsiTheme="minorHAnsi" w:cs="Calibri"/>
          <w:i/>
          <w:color w:val="000000"/>
          <w:sz w:val="22"/>
          <w:szCs w:val="22"/>
        </w:rPr>
        <w:t>not</w:t>
      </w:r>
      <w:r w:rsidR="00232C74" w:rsidRPr="00C16BF0">
        <w:rPr>
          <w:rFonts w:asciiTheme="minorHAnsi" w:hAnsiTheme="minorHAnsi" w:cs="Calibri"/>
          <w:color w:val="000000"/>
          <w:sz w:val="22"/>
          <w:szCs w:val="22"/>
        </w:rPr>
        <w:t xml:space="preserve"> use quotation marks.</w:t>
      </w:r>
      <w:r w:rsidR="00E1116A" w:rsidRPr="00C16BF0">
        <w:rPr>
          <w:rFonts w:asciiTheme="minorHAnsi" w:hAnsiTheme="minorHAnsi" w:cs="Calibri"/>
          <w:color w:val="000000"/>
          <w:sz w:val="22"/>
          <w:szCs w:val="22"/>
        </w:rPr>
        <w:t xml:space="preserve"> </w:t>
      </w:r>
      <w:r w:rsidR="00E1116A" w:rsidRPr="00C16BF0">
        <w:rPr>
          <w:rFonts w:asciiTheme="minorHAnsi" w:hAnsiTheme="minorHAnsi"/>
          <w:color w:val="000000"/>
          <w:sz w:val="22"/>
          <w:szCs w:val="22"/>
        </w:rPr>
        <w:t>If using an in-text parenthetical citation, place the concluding punctuation mark after the last word, then include the parenthetical reference without punctuation.</w:t>
      </w:r>
    </w:p>
    <w:p w14:paraId="31E2BCD2" w14:textId="77777777" w:rsidR="00CA10F4" w:rsidRPr="00F12F1C" w:rsidRDefault="00CA10F4" w:rsidP="006D7607">
      <w:pPr>
        <w:spacing w:after="0"/>
        <w:rPr>
          <w:rFonts w:cs="Calibri"/>
          <w:color w:val="000000"/>
        </w:rPr>
      </w:pPr>
    </w:p>
    <w:p w14:paraId="09EE94FA" w14:textId="77777777" w:rsidR="006D7607" w:rsidRDefault="006D7607" w:rsidP="00E87CE4">
      <w:pPr>
        <w:rPr>
          <w:b/>
        </w:rPr>
      </w:pPr>
    </w:p>
    <w:p w14:paraId="627282ED" w14:textId="77777777" w:rsidR="00232C74" w:rsidRPr="00F12F1C" w:rsidRDefault="00232C74" w:rsidP="00E87CE4">
      <w:pPr>
        <w:rPr>
          <w:b/>
        </w:rPr>
      </w:pPr>
      <w:r w:rsidRPr="00F12F1C">
        <w:rPr>
          <w:b/>
        </w:rPr>
        <w:lastRenderedPageBreak/>
        <w:t>Special Characters</w:t>
      </w:r>
    </w:p>
    <w:p w14:paraId="5E15B89B" w14:textId="0E3468EC" w:rsidR="00232C74" w:rsidRPr="00F12F1C" w:rsidRDefault="00232C74" w:rsidP="00E87CE4">
      <w:pPr>
        <w:spacing w:after="0"/>
      </w:pPr>
      <w:r w:rsidRPr="00F12F1C">
        <w:t xml:space="preserve">Symbols, special characters, and other elements (such as mathematical formulas) can be accommodated in our texts. Please make your </w:t>
      </w:r>
      <w:r w:rsidR="00FC6722">
        <w:t>Acquisitions</w:t>
      </w:r>
      <w:r w:rsidRPr="00F12F1C">
        <w:t xml:space="preserve"> Editor aware of these special characters when submitting your final package. Letters with accents do not qualify as special characters, only symbols not common to Romance/Germanic alphabets, such as Chinese symbols or Old English.</w:t>
      </w:r>
    </w:p>
    <w:p w14:paraId="0257EB7A" w14:textId="77777777" w:rsidR="00232C74" w:rsidRPr="00F12F1C" w:rsidRDefault="00232C74" w:rsidP="00E87CE4">
      <w:pPr>
        <w:spacing w:after="0"/>
      </w:pPr>
    </w:p>
    <w:p w14:paraId="01F160A5" w14:textId="0F073265" w:rsidR="00232C74" w:rsidRPr="00F12F1C" w:rsidRDefault="00232C74" w:rsidP="00E87CE4">
      <w:pPr>
        <w:pStyle w:val="ListParagraph"/>
        <w:numPr>
          <w:ilvl w:val="0"/>
          <w:numId w:val="14"/>
        </w:numPr>
        <w:spacing w:after="0"/>
      </w:pPr>
      <w:r w:rsidRPr="00F12F1C">
        <w:rPr>
          <w:rFonts w:eastAsia="MS Gothic"/>
        </w:rPr>
        <w:t>伊</w:t>
      </w:r>
      <w:r w:rsidRPr="00F12F1C">
        <w:t xml:space="preserve"> – This is a Special Character to note to your </w:t>
      </w:r>
      <w:r w:rsidR="00FC6722">
        <w:t>Acquisitions</w:t>
      </w:r>
      <w:r w:rsidRPr="00F12F1C">
        <w:t xml:space="preserve"> Editor</w:t>
      </w:r>
    </w:p>
    <w:p w14:paraId="6005CD84" w14:textId="6C60FD8F" w:rsidR="00232C74" w:rsidRPr="00F12F1C" w:rsidRDefault="004658C3" w:rsidP="00E87CE4">
      <w:pPr>
        <w:pStyle w:val="ListParagraph"/>
        <w:numPr>
          <w:ilvl w:val="0"/>
          <w:numId w:val="14"/>
        </w:numPr>
        <w:spacing w:after="0"/>
      </w:pPr>
      <w:r w:rsidRPr="00F12F1C">
        <w:t>é</w:t>
      </w:r>
      <w:r w:rsidR="00232C74" w:rsidRPr="00F12F1C">
        <w:t xml:space="preserve"> – This is NOT a Special Character. There is no need to make note of such symbols.</w:t>
      </w:r>
    </w:p>
    <w:p w14:paraId="5B9BC610" w14:textId="77777777" w:rsidR="00E87CE4" w:rsidRDefault="00E87CE4" w:rsidP="00E87CE4">
      <w:pPr>
        <w:pStyle w:val="ListParagraph"/>
        <w:spacing w:after="0"/>
      </w:pPr>
    </w:p>
    <w:p w14:paraId="5E4CF923" w14:textId="77777777" w:rsidR="006D7607" w:rsidRPr="00F12F1C" w:rsidRDefault="006D7607" w:rsidP="00E87CE4">
      <w:pPr>
        <w:pStyle w:val="ListParagraph"/>
        <w:spacing w:after="0"/>
      </w:pPr>
    </w:p>
    <w:p w14:paraId="59AA1BB1" w14:textId="77777777" w:rsidR="00CA10F4" w:rsidRPr="00F12F1C" w:rsidRDefault="00CA10F4" w:rsidP="00E87CE4">
      <w:pPr>
        <w:rPr>
          <w:b/>
        </w:rPr>
      </w:pPr>
      <w:r w:rsidRPr="00F12F1C">
        <w:rPr>
          <w:b/>
        </w:rPr>
        <w:t>Translations</w:t>
      </w:r>
    </w:p>
    <w:p w14:paraId="6DF52DDD" w14:textId="77777777" w:rsidR="00CA10F4" w:rsidRPr="00F12F1C" w:rsidRDefault="00CA10F4" w:rsidP="00E87CE4">
      <w:r w:rsidRPr="00F12F1C">
        <w:t xml:space="preserve">Please provide English translations of direct quotations in foreign languages. The English translation should appear in square brackets following the original: </w:t>
      </w:r>
    </w:p>
    <w:p w14:paraId="71ED6BF2" w14:textId="77777777" w:rsidR="00CA10F4" w:rsidRPr="00F12F1C" w:rsidRDefault="00CA10F4" w:rsidP="00E87CE4">
      <w:pPr>
        <w:numPr>
          <w:ilvl w:val="0"/>
          <w:numId w:val="13"/>
        </w:numPr>
      </w:pPr>
      <w:r w:rsidRPr="00F12F1C">
        <w:t>Short quotations:</w:t>
      </w:r>
    </w:p>
    <w:p w14:paraId="3C531C13" w14:textId="77777777" w:rsidR="00CA10F4" w:rsidRPr="00F12F1C" w:rsidRDefault="00CA10F4" w:rsidP="00E87CE4">
      <w:pPr>
        <w:ind w:left="720"/>
      </w:pPr>
      <w:r w:rsidRPr="00F12F1C">
        <w:t>The cyclist Jean B</w:t>
      </w:r>
      <w:r w:rsidRPr="00F12F1C">
        <w:rPr>
          <w:rFonts w:cs="Calibri"/>
        </w:rPr>
        <w:t>é</w:t>
      </w:r>
      <w:r w:rsidRPr="00F12F1C">
        <w:t>gu</w:t>
      </w:r>
      <w:r w:rsidRPr="00F12F1C">
        <w:rPr>
          <w:rFonts w:cs="Calibri"/>
        </w:rPr>
        <w:t>é</w:t>
      </w:r>
      <w:r w:rsidRPr="00F12F1C">
        <w:t xml:space="preserve"> was ‘de ces Jean qu’on n’ose pas appeler Jeannot’ [one of those men named John one dare not call Johnny] (93).</w:t>
      </w:r>
    </w:p>
    <w:p w14:paraId="5B68D3CD" w14:textId="77777777" w:rsidR="00CA10F4" w:rsidRPr="00F12F1C" w:rsidRDefault="00CA10F4" w:rsidP="00E87CE4">
      <w:pPr>
        <w:numPr>
          <w:ilvl w:val="0"/>
          <w:numId w:val="12"/>
        </w:numPr>
      </w:pPr>
      <w:r w:rsidRPr="00F12F1C">
        <w:t>Display quotations:</w:t>
      </w:r>
    </w:p>
    <w:p w14:paraId="5F924393" w14:textId="77777777" w:rsidR="00CA10F4" w:rsidRPr="00F12F1C" w:rsidRDefault="00CA10F4" w:rsidP="00E87CE4">
      <w:pPr>
        <w:pStyle w:val="Displayquote"/>
        <w:tabs>
          <w:tab w:val="clear" w:pos="454"/>
          <w:tab w:val="left" w:pos="1276"/>
        </w:tabs>
        <w:spacing w:line="276" w:lineRule="auto"/>
        <w:ind w:left="1276" w:right="1655"/>
        <w:rPr>
          <w:rFonts w:ascii="Calibri" w:hAnsi="Calibri" w:cs="Calibri"/>
          <w:lang w:val="pt-BR"/>
        </w:rPr>
      </w:pPr>
      <w:r w:rsidRPr="00F12F1C">
        <w:rPr>
          <w:rFonts w:ascii="Calibri" w:hAnsi="Calibri" w:cs="Calibri"/>
          <w:lang w:val="pt-BR"/>
        </w:rPr>
        <w:t>A jutjar per com es presentava l’alba, la jornada s’anunciava certament moguda, o sigui feta ara de cops de sol espetegador, ara de gèlids ruixims de pluja, tot plegat amanit amb ràfegues imprevistes de vent.</w:t>
      </w:r>
    </w:p>
    <w:p w14:paraId="09375205" w14:textId="77777777" w:rsidR="00CA10F4" w:rsidRPr="00F12F1C" w:rsidRDefault="00CA10F4" w:rsidP="00E87CE4">
      <w:pPr>
        <w:pStyle w:val="Displayquote"/>
        <w:tabs>
          <w:tab w:val="clear" w:pos="454"/>
          <w:tab w:val="left" w:pos="1276"/>
        </w:tabs>
        <w:spacing w:line="276" w:lineRule="auto"/>
        <w:ind w:left="1276" w:right="1655"/>
        <w:rPr>
          <w:rFonts w:ascii="Calibri" w:hAnsi="Calibri" w:cs="Calibri"/>
          <w:lang w:val="pt-BR"/>
        </w:rPr>
      </w:pPr>
    </w:p>
    <w:p w14:paraId="2A5247B5" w14:textId="77777777" w:rsidR="00CA10F4" w:rsidRPr="00F12F1C" w:rsidRDefault="00CA10F4" w:rsidP="00E87CE4">
      <w:pPr>
        <w:pStyle w:val="Displayquote"/>
        <w:tabs>
          <w:tab w:val="clear" w:pos="454"/>
          <w:tab w:val="left" w:pos="1276"/>
        </w:tabs>
        <w:spacing w:after="240" w:line="276" w:lineRule="auto"/>
        <w:ind w:left="1276" w:right="1655"/>
        <w:rPr>
          <w:rFonts w:ascii="Calibri" w:hAnsi="Calibri" w:cs="Calibri"/>
          <w:lang w:val="en-US"/>
        </w:rPr>
      </w:pPr>
      <w:r w:rsidRPr="00F12F1C">
        <w:rPr>
          <w:rFonts w:ascii="Calibri" w:hAnsi="Calibri" w:cs="Calibri"/>
          <w:lang w:val="en-US"/>
        </w:rPr>
        <w:t>[Judging by how dawn presented, the day promised to be certainly varied, so made of blows of punishing sun, and gushes of icy rain, all spiced with unexpected gusts of wind.]</w:t>
      </w:r>
    </w:p>
    <w:p w14:paraId="3195C5F1" w14:textId="77777777" w:rsidR="00CA10F4" w:rsidRPr="00F12F1C" w:rsidRDefault="00CA10F4" w:rsidP="00E87CE4">
      <w:pPr>
        <w:numPr>
          <w:ilvl w:val="0"/>
          <w:numId w:val="12"/>
        </w:numPr>
      </w:pPr>
      <w:r w:rsidRPr="00F12F1C">
        <w:t>Titles of foreign-language works:</w:t>
      </w:r>
    </w:p>
    <w:p w14:paraId="59D78A90" w14:textId="77777777" w:rsidR="00CA10F4" w:rsidRPr="00F12F1C" w:rsidRDefault="00CA10F4" w:rsidP="00E87CE4">
      <w:pPr>
        <w:ind w:firstLine="720"/>
      </w:pPr>
      <w:r w:rsidRPr="00F12F1C">
        <w:t xml:space="preserve">Hohler’s novel </w:t>
      </w:r>
      <w:r w:rsidRPr="00F12F1C">
        <w:rPr>
          <w:i/>
          <w:iCs/>
        </w:rPr>
        <w:t xml:space="preserve">Der neue Berg </w:t>
      </w:r>
      <w:r w:rsidRPr="00F12F1C">
        <w:t>[</w:t>
      </w:r>
      <w:r w:rsidRPr="00F12F1C">
        <w:rPr>
          <w:i/>
        </w:rPr>
        <w:t>The New Mountain</w:t>
      </w:r>
      <w:r w:rsidRPr="00F12F1C">
        <w:t>] (1989) is in part a satirical work.</w:t>
      </w:r>
    </w:p>
    <w:p w14:paraId="3CEB9240" w14:textId="77777777" w:rsidR="00CA10F4" w:rsidRPr="00F12F1C" w:rsidRDefault="00CA10F4" w:rsidP="00E87CE4">
      <w:pPr>
        <w:numPr>
          <w:ilvl w:val="0"/>
          <w:numId w:val="12"/>
        </w:numPr>
      </w:pPr>
      <w:r w:rsidRPr="00F12F1C">
        <w:t>Terms or short phrases:</w:t>
      </w:r>
    </w:p>
    <w:p w14:paraId="34567638" w14:textId="77777777" w:rsidR="00CA10F4" w:rsidRPr="00F12F1C" w:rsidRDefault="00CA10F4" w:rsidP="00E87CE4">
      <w:pPr>
        <w:ind w:firstLine="720"/>
      </w:pPr>
      <w:r w:rsidRPr="00F12F1C">
        <w:t xml:space="preserve">Montella was </w:t>
      </w:r>
      <w:r w:rsidRPr="00F12F1C">
        <w:rPr>
          <w:i/>
        </w:rPr>
        <w:t>capocannoniere</w:t>
      </w:r>
      <w:r w:rsidRPr="00F12F1C">
        <w:t xml:space="preserve"> [top scorer], with eleven goals.</w:t>
      </w:r>
    </w:p>
    <w:p w14:paraId="74021B6E" w14:textId="391E876D" w:rsidR="00CA10F4" w:rsidRPr="00F12F1C" w:rsidRDefault="00CA10F4" w:rsidP="00E87CE4">
      <w:r w:rsidRPr="00F12F1C">
        <w:t>Footnotes may alternatively be used for English translatio</w:t>
      </w:r>
      <w:r w:rsidR="00F84740">
        <w:t>ns, or for the original foreign-</w:t>
      </w:r>
      <w:r w:rsidRPr="00F12F1C">
        <w:t xml:space="preserve">language quotation if the majority of the text is in English. </w:t>
      </w:r>
    </w:p>
    <w:p w14:paraId="0FE34A0B" w14:textId="64A5543F" w:rsidR="00CA10F4" w:rsidRPr="00F12F1C" w:rsidRDefault="00CA10F4" w:rsidP="00E87CE4">
      <w:r w:rsidRPr="00F12F1C">
        <w:t>Secondary sources may be provided in English translatio</w:t>
      </w:r>
      <w:r w:rsidR="00F84740">
        <w:t>n only, if the original foreign-</w:t>
      </w:r>
      <w:r w:rsidRPr="00F12F1C">
        <w:t xml:space="preserve">language text is not necessary for your argument. </w:t>
      </w:r>
    </w:p>
    <w:p w14:paraId="1D9C3DDF" w14:textId="26437C90" w:rsidR="00CA10F4" w:rsidRDefault="00CA10F4" w:rsidP="00E87CE4">
      <w:r w:rsidRPr="00F12F1C">
        <w:t xml:space="preserve">If the translation is your own, please follow it with ‘(my translation)’. </w:t>
      </w:r>
      <w:r w:rsidR="00E84C32" w:rsidRPr="00F12F1C">
        <w:t xml:space="preserve">If you primarily use your own translations, please add a footnote following the first translation, stating, ‘All translations are my own unless otherwise noted.’ </w:t>
      </w:r>
      <w:r w:rsidRPr="00F12F1C">
        <w:t>Please be sure to credit any published t</w:t>
      </w:r>
      <w:r w:rsidR="00F422C8" w:rsidRPr="00F12F1C">
        <w:t>ranslations used</w:t>
      </w:r>
      <w:r w:rsidR="00AB3F86" w:rsidRPr="00F12F1C">
        <w:t xml:space="preserve"> (please see the </w:t>
      </w:r>
      <w:r w:rsidR="00AB3F86" w:rsidRPr="00F12F1C">
        <w:rPr>
          <w:b/>
        </w:rPr>
        <w:t xml:space="preserve">Peter Lang </w:t>
      </w:r>
      <w:r w:rsidR="00A22FCD">
        <w:rPr>
          <w:b/>
        </w:rPr>
        <w:t>Copyright</w:t>
      </w:r>
      <w:r w:rsidR="00AB3F86" w:rsidRPr="00F12F1C">
        <w:rPr>
          <w:b/>
        </w:rPr>
        <w:t xml:space="preserve"> Guidelines</w:t>
      </w:r>
      <w:r w:rsidR="00AB3F86" w:rsidRPr="00F12F1C">
        <w:t>).</w:t>
      </w:r>
    </w:p>
    <w:sectPr w:rsidR="00CA10F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1198" w14:textId="77777777" w:rsidR="00177588" w:rsidRDefault="00177588" w:rsidP="00177588">
      <w:pPr>
        <w:spacing w:after="0" w:line="240" w:lineRule="auto"/>
      </w:pPr>
      <w:r>
        <w:separator/>
      </w:r>
    </w:p>
  </w:endnote>
  <w:endnote w:type="continuationSeparator" w:id="0">
    <w:p w14:paraId="0EF47A44" w14:textId="77777777" w:rsidR="00177588" w:rsidRDefault="00177588" w:rsidP="0017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C2C02" w14:textId="77777777" w:rsidR="00177588" w:rsidRDefault="00177588" w:rsidP="00177588">
      <w:pPr>
        <w:spacing w:after="0" w:line="240" w:lineRule="auto"/>
      </w:pPr>
      <w:r>
        <w:separator/>
      </w:r>
    </w:p>
  </w:footnote>
  <w:footnote w:type="continuationSeparator" w:id="0">
    <w:p w14:paraId="40E13934" w14:textId="77777777" w:rsidR="00177588" w:rsidRDefault="00177588" w:rsidP="00177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631777"/>
      <w:docPartObj>
        <w:docPartGallery w:val="Page Numbers (Top of Page)"/>
        <w:docPartUnique/>
      </w:docPartObj>
    </w:sdtPr>
    <w:sdtEndPr>
      <w:rPr>
        <w:noProof/>
      </w:rPr>
    </w:sdtEndPr>
    <w:sdtContent>
      <w:p w14:paraId="199B9BE3" w14:textId="17354CC3" w:rsidR="00177588" w:rsidRDefault="00177588">
        <w:pPr>
          <w:pStyle w:val="Header"/>
          <w:jc w:val="right"/>
        </w:pPr>
        <w:r>
          <w:t xml:space="preserve">Peter Lang Style Guidelines – British English     </w:t>
        </w:r>
        <w:r>
          <w:fldChar w:fldCharType="begin"/>
        </w:r>
        <w:r>
          <w:instrText xml:space="preserve"> PAGE   \* MERGEFORMAT </w:instrText>
        </w:r>
        <w:r>
          <w:fldChar w:fldCharType="separate"/>
        </w:r>
        <w:r w:rsidR="0051237A">
          <w:rPr>
            <w:noProof/>
          </w:rPr>
          <w:t>6</w:t>
        </w:r>
        <w:r>
          <w:rPr>
            <w:noProof/>
          </w:rPr>
          <w:fldChar w:fldCharType="end"/>
        </w:r>
      </w:p>
    </w:sdtContent>
  </w:sdt>
  <w:p w14:paraId="01B80F56" w14:textId="77777777" w:rsidR="00177588" w:rsidRDefault="00177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F6F"/>
    <w:multiLevelType w:val="hybridMultilevel"/>
    <w:tmpl w:val="2A58B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43FCF"/>
    <w:multiLevelType w:val="hybridMultilevel"/>
    <w:tmpl w:val="6F58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135C8"/>
    <w:multiLevelType w:val="hybridMultilevel"/>
    <w:tmpl w:val="0004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E1BB6"/>
    <w:multiLevelType w:val="hybridMultilevel"/>
    <w:tmpl w:val="7760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A7A70"/>
    <w:multiLevelType w:val="hybridMultilevel"/>
    <w:tmpl w:val="567E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36431"/>
    <w:multiLevelType w:val="hybridMultilevel"/>
    <w:tmpl w:val="F0CA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C3CD7"/>
    <w:multiLevelType w:val="hybridMultilevel"/>
    <w:tmpl w:val="8E8E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9279A"/>
    <w:multiLevelType w:val="hybridMultilevel"/>
    <w:tmpl w:val="0B1A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40C3F"/>
    <w:multiLevelType w:val="hybridMultilevel"/>
    <w:tmpl w:val="06C8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208EA"/>
    <w:multiLevelType w:val="hybridMultilevel"/>
    <w:tmpl w:val="3792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11B5F"/>
    <w:multiLevelType w:val="hybridMultilevel"/>
    <w:tmpl w:val="21E2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617DA"/>
    <w:multiLevelType w:val="hybridMultilevel"/>
    <w:tmpl w:val="837C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9C07FC"/>
    <w:multiLevelType w:val="hybridMultilevel"/>
    <w:tmpl w:val="EF68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E6C6C"/>
    <w:multiLevelType w:val="hybridMultilevel"/>
    <w:tmpl w:val="97F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3"/>
  </w:num>
  <w:num w:numId="5">
    <w:abstractNumId w:val="6"/>
  </w:num>
  <w:num w:numId="6">
    <w:abstractNumId w:val="9"/>
  </w:num>
  <w:num w:numId="7">
    <w:abstractNumId w:val="5"/>
  </w:num>
  <w:num w:numId="8">
    <w:abstractNumId w:val="12"/>
  </w:num>
  <w:num w:numId="9">
    <w:abstractNumId w:val="8"/>
  </w:num>
  <w:num w:numId="10">
    <w:abstractNumId w:val="13"/>
  </w:num>
  <w:num w:numId="11">
    <w:abstractNumId w:val="10"/>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09"/>
    <w:rsid w:val="00014B9C"/>
    <w:rsid w:val="00017E05"/>
    <w:rsid w:val="000A4760"/>
    <w:rsid w:val="000F44C0"/>
    <w:rsid w:val="00177588"/>
    <w:rsid w:val="001D557E"/>
    <w:rsid w:val="00232C74"/>
    <w:rsid w:val="00256A42"/>
    <w:rsid w:val="002B7F9E"/>
    <w:rsid w:val="003E7460"/>
    <w:rsid w:val="00433918"/>
    <w:rsid w:val="004658C3"/>
    <w:rsid w:val="004B1601"/>
    <w:rsid w:val="005051BB"/>
    <w:rsid w:val="0051237A"/>
    <w:rsid w:val="00531109"/>
    <w:rsid w:val="00540AF3"/>
    <w:rsid w:val="00551BB7"/>
    <w:rsid w:val="005F1168"/>
    <w:rsid w:val="005F3312"/>
    <w:rsid w:val="006559F7"/>
    <w:rsid w:val="006D7607"/>
    <w:rsid w:val="007F6DFC"/>
    <w:rsid w:val="00825887"/>
    <w:rsid w:val="00A22FCD"/>
    <w:rsid w:val="00A45F8C"/>
    <w:rsid w:val="00AB3F86"/>
    <w:rsid w:val="00B20979"/>
    <w:rsid w:val="00B22DA1"/>
    <w:rsid w:val="00C16BF0"/>
    <w:rsid w:val="00C50391"/>
    <w:rsid w:val="00CA10F4"/>
    <w:rsid w:val="00D82B12"/>
    <w:rsid w:val="00E1116A"/>
    <w:rsid w:val="00E5300E"/>
    <w:rsid w:val="00E73920"/>
    <w:rsid w:val="00E84C32"/>
    <w:rsid w:val="00E87CE4"/>
    <w:rsid w:val="00F12F1C"/>
    <w:rsid w:val="00F422C8"/>
    <w:rsid w:val="00F84740"/>
    <w:rsid w:val="00FC6722"/>
    <w:rsid w:val="00FC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4619"/>
  <w15:chartTrackingRefBased/>
  <w15:docId w15:val="{7B46DE45-A487-422D-8F4C-F29A191E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10F4"/>
    <w:rPr>
      <w:color w:val="0000FF"/>
      <w:u w:val="single"/>
    </w:rPr>
  </w:style>
  <w:style w:type="character" w:styleId="Emphasis">
    <w:name w:val="Emphasis"/>
    <w:uiPriority w:val="20"/>
    <w:qFormat/>
    <w:rsid w:val="00CA10F4"/>
    <w:rPr>
      <w:i/>
      <w:iCs/>
    </w:rPr>
  </w:style>
  <w:style w:type="paragraph" w:customStyle="1" w:styleId="Displayquote">
    <w:name w:val="Display quote"/>
    <w:basedOn w:val="Normal"/>
    <w:rsid w:val="00CA10F4"/>
    <w:pPr>
      <w:tabs>
        <w:tab w:val="left" w:pos="454"/>
      </w:tabs>
      <w:spacing w:after="0" w:line="220" w:lineRule="exact"/>
      <w:ind w:left="454"/>
      <w:jc w:val="both"/>
    </w:pPr>
    <w:rPr>
      <w:rFonts w:ascii="Times New Roman" w:eastAsia="Times New Roman" w:hAnsi="Times New Roman" w:cs="Times New Roman"/>
      <w:iCs/>
      <w:sz w:val="18"/>
      <w:szCs w:val="20"/>
      <w:lang w:val="fr-FR"/>
    </w:rPr>
  </w:style>
  <w:style w:type="paragraph" w:styleId="ListParagraph">
    <w:name w:val="List Paragraph"/>
    <w:basedOn w:val="Normal"/>
    <w:uiPriority w:val="34"/>
    <w:qFormat/>
    <w:rsid w:val="002B7F9E"/>
    <w:pPr>
      <w:ind w:left="720"/>
      <w:contextualSpacing/>
    </w:pPr>
  </w:style>
  <w:style w:type="paragraph" w:styleId="Header">
    <w:name w:val="header"/>
    <w:basedOn w:val="Normal"/>
    <w:link w:val="HeaderChar"/>
    <w:uiPriority w:val="99"/>
    <w:unhideWhenUsed/>
    <w:rsid w:val="00177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588"/>
  </w:style>
  <w:style w:type="paragraph" w:styleId="Footer">
    <w:name w:val="footer"/>
    <w:basedOn w:val="Normal"/>
    <w:link w:val="FooterChar"/>
    <w:uiPriority w:val="99"/>
    <w:unhideWhenUsed/>
    <w:rsid w:val="00177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588"/>
  </w:style>
  <w:style w:type="character" w:styleId="CommentReference">
    <w:name w:val="annotation reference"/>
    <w:basedOn w:val="DefaultParagraphFont"/>
    <w:uiPriority w:val="99"/>
    <w:semiHidden/>
    <w:unhideWhenUsed/>
    <w:rsid w:val="000A4760"/>
    <w:rPr>
      <w:sz w:val="16"/>
      <w:szCs w:val="16"/>
    </w:rPr>
  </w:style>
  <w:style w:type="paragraph" w:styleId="CommentText">
    <w:name w:val="annotation text"/>
    <w:basedOn w:val="Normal"/>
    <w:link w:val="CommentTextChar"/>
    <w:uiPriority w:val="99"/>
    <w:semiHidden/>
    <w:unhideWhenUsed/>
    <w:rsid w:val="000A4760"/>
    <w:pPr>
      <w:spacing w:line="240" w:lineRule="auto"/>
    </w:pPr>
    <w:rPr>
      <w:sz w:val="20"/>
      <w:szCs w:val="20"/>
    </w:rPr>
  </w:style>
  <w:style w:type="character" w:customStyle="1" w:styleId="CommentTextChar">
    <w:name w:val="Comment Text Char"/>
    <w:basedOn w:val="DefaultParagraphFont"/>
    <w:link w:val="CommentText"/>
    <w:uiPriority w:val="99"/>
    <w:semiHidden/>
    <w:rsid w:val="000A4760"/>
    <w:rPr>
      <w:sz w:val="20"/>
      <w:szCs w:val="20"/>
    </w:rPr>
  </w:style>
  <w:style w:type="paragraph" w:styleId="CommentSubject">
    <w:name w:val="annotation subject"/>
    <w:basedOn w:val="CommentText"/>
    <w:next w:val="CommentText"/>
    <w:link w:val="CommentSubjectChar"/>
    <w:uiPriority w:val="99"/>
    <w:semiHidden/>
    <w:unhideWhenUsed/>
    <w:rsid w:val="000A4760"/>
    <w:rPr>
      <w:b/>
      <w:bCs/>
    </w:rPr>
  </w:style>
  <w:style w:type="character" w:customStyle="1" w:styleId="CommentSubjectChar">
    <w:name w:val="Comment Subject Char"/>
    <w:basedOn w:val="CommentTextChar"/>
    <w:link w:val="CommentSubject"/>
    <w:uiPriority w:val="99"/>
    <w:semiHidden/>
    <w:rsid w:val="000A4760"/>
    <w:rPr>
      <w:b/>
      <w:bCs/>
      <w:sz w:val="20"/>
      <w:szCs w:val="20"/>
    </w:rPr>
  </w:style>
  <w:style w:type="paragraph" w:styleId="BalloonText">
    <w:name w:val="Balloon Text"/>
    <w:basedOn w:val="Normal"/>
    <w:link w:val="BalloonTextChar"/>
    <w:uiPriority w:val="99"/>
    <w:semiHidden/>
    <w:unhideWhenUsed/>
    <w:rsid w:val="000A4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60"/>
    <w:rPr>
      <w:rFonts w:ascii="Segoe UI" w:hAnsi="Segoe UI" w:cs="Segoe UI"/>
      <w:sz w:val="18"/>
      <w:szCs w:val="18"/>
    </w:rPr>
  </w:style>
  <w:style w:type="paragraph" w:styleId="NormalWeb">
    <w:name w:val="Normal (Web)"/>
    <w:basedOn w:val="Normal"/>
    <w:uiPriority w:val="99"/>
    <w:unhideWhenUsed/>
    <w:rsid w:val="00E1116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rman.leeds.ac.uk/staff/rodop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Plapp</dc:creator>
  <cp:keywords/>
  <dc:description/>
  <cp:lastModifiedBy>Collin Natasha</cp:lastModifiedBy>
  <cp:revision>6</cp:revision>
  <dcterms:created xsi:type="dcterms:W3CDTF">2018-01-16T10:23:00Z</dcterms:created>
  <dcterms:modified xsi:type="dcterms:W3CDTF">2018-02-23T12:11:00Z</dcterms:modified>
</cp:coreProperties>
</file>